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667BFC" w:rsidRDefault="00627628" w:rsidP="006B04AF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667BFC" w:rsidRDefault="00B65BBB" w:rsidP="006B04AF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195C8D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9A0CB4">
        <w:rPr>
          <w:rFonts w:ascii="Times New Roman" w:hAnsi="Times New Roman" w:cs="Times New Roman"/>
          <w:b/>
          <w:sz w:val="20"/>
          <w:szCs w:val="20"/>
          <w:u w:val="single"/>
        </w:rPr>
        <w:t xml:space="preserve"> T</w:t>
      </w:r>
      <w:r w:rsidR="00802E28" w:rsidRPr="00667BFC">
        <w:rPr>
          <w:rFonts w:ascii="Times New Roman" w:hAnsi="Times New Roman" w:cs="Times New Roman"/>
          <w:b/>
          <w:sz w:val="20"/>
          <w:szCs w:val="20"/>
          <w:u w:val="single"/>
        </w:rPr>
        <w:t>emmuz 2013,</w:t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95C8D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</w:t>
      </w:r>
      <w:proofErr w:type="gramStart"/>
      <w:r w:rsidR="00195C8D">
        <w:rPr>
          <w:rFonts w:ascii="Times New Roman" w:hAnsi="Times New Roman" w:cs="Times New Roman"/>
          <w:b/>
          <w:sz w:val="20"/>
          <w:szCs w:val="20"/>
          <w:u w:val="single"/>
        </w:rPr>
        <w:t>Sayı : 28704</w:t>
      </w:r>
      <w:proofErr w:type="gramEnd"/>
    </w:p>
    <w:p w:rsidR="00887767" w:rsidRDefault="00887767" w:rsidP="006B04AF">
      <w:pPr>
        <w:pStyle w:val="3-NormalYaz"/>
        <w:spacing w:line="280" w:lineRule="atLeast"/>
        <w:rPr>
          <w:rFonts w:eastAsiaTheme="minorHAnsi" w:hAnsi="Times New Roman"/>
          <w:sz w:val="20"/>
        </w:rPr>
      </w:pPr>
    </w:p>
    <w:p w:rsidR="003E36BC" w:rsidRDefault="003E36BC" w:rsidP="003E36BC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Kurulundan:</w:t>
      </w:r>
    </w:p>
    <w:p w:rsidR="003E36BC" w:rsidRDefault="003E36BC" w:rsidP="003E36BC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3E36BC" w:rsidRDefault="003E36BC" w:rsidP="003E36BC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ARACI KURUMLARIN SERMAYELER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NE VE SERMAYE YETERL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>NE</w:t>
      </w:r>
    </w:p>
    <w:p w:rsidR="003E36BC" w:rsidRDefault="003E36BC" w:rsidP="003E36B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ESASLAR TEBL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 xml:space="preserve"> (SER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: V, NO: 34)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NDE 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3E36BC" w:rsidRDefault="003E36BC" w:rsidP="003E36B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TEBL</w:t>
      </w:r>
      <w:r>
        <w:rPr>
          <w:sz w:val="18"/>
          <w:szCs w:val="18"/>
        </w:rPr>
        <w:t>İĞ</w:t>
      </w:r>
    </w:p>
    <w:p w:rsidR="003E36BC" w:rsidRDefault="003E36BC" w:rsidP="003E36BC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(SER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: V, NO: 134)</w:t>
      </w:r>
    </w:p>
    <w:p w:rsidR="003E36BC" w:rsidRDefault="003E36BC" w:rsidP="003E36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26/6/1998</w:t>
      </w:r>
      <w:proofErr w:type="gramEnd"/>
      <w:r>
        <w:rPr>
          <w:sz w:val="18"/>
          <w:szCs w:val="18"/>
        </w:rPr>
        <w:t xml:space="preserve"> tarihli ve 23384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kerrer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Sermayelerine ve Sermaye Yeterlili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Esaslar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(Seri: V, No: 34)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E36BC" w:rsidRDefault="003E36BC" w:rsidP="003E36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Dar yetkili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2.000.000 TL,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yetkili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10.000.000 TL ve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yetkili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25.000.000 TL asgari </w:t>
      </w:r>
      <w:proofErr w:type="spellStart"/>
      <w:r>
        <w:rPr>
          <w:sz w:val="18"/>
          <w:szCs w:val="18"/>
        </w:rPr>
        <w:t>ö</w:t>
      </w:r>
      <w:r>
        <w:rPr>
          <w:sz w:val="18"/>
          <w:szCs w:val="18"/>
        </w:rPr>
        <w:t>zsermayeye</w:t>
      </w:r>
      <w:proofErr w:type="spellEnd"/>
      <w:r>
        <w:rPr>
          <w:sz w:val="18"/>
          <w:szCs w:val="18"/>
        </w:rPr>
        <w:t xml:space="preserve">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  <w:r>
        <w:rPr>
          <w:sz w:val="18"/>
          <w:szCs w:val="18"/>
        </w:rPr>
        <w:t>”</w:t>
      </w:r>
    </w:p>
    <w:p w:rsidR="003E36BC" w:rsidRDefault="003E36BC" w:rsidP="003E36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 15 inci maddeden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yla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madde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E36BC" w:rsidRDefault="003E36BC" w:rsidP="003E36B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Saklama hizmetinde pozisyon riski</w:t>
      </w:r>
    </w:p>
    <w:p w:rsidR="003E36BC" w:rsidRDefault="003E36BC" w:rsidP="003E36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15/A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gramStart"/>
      <w:r>
        <w:rPr>
          <w:sz w:val="18"/>
          <w:szCs w:val="18"/>
        </w:rPr>
        <w:t>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proofErr w:type="gramEnd"/>
      <w:r>
        <w:rPr>
          <w:sz w:val="18"/>
          <w:szCs w:val="18"/>
        </w:rPr>
        <w:t xml:space="preserve"> saklama hizmeti dahil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saklama hizmeti sunduklar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0,001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 (binde biri)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pozisyon risk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hesaplan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hesaplamada, halka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 halka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teriler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saklanan ve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bloke konulan paylar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  <w:r>
        <w:rPr>
          <w:sz w:val="18"/>
          <w:szCs w:val="18"/>
        </w:rPr>
        <w:t>”</w:t>
      </w:r>
    </w:p>
    <w:p w:rsidR="003E36BC" w:rsidRDefault="003E36BC" w:rsidP="003E36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1/7/2014</w:t>
      </w:r>
      <w:proofErr w:type="gramEnd"/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3E36BC" w:rsidRDefault="003E36BC" w:rsidP="003E36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3E36BC" w:rsidRDefault="003E36BC" w:rsidP="006B04AF">
      <w:pPr>
        <w:pStyle w:val="3-NormalYaz"/>
        <w:spacing w:line="280" w:lineRule="atLeast"/>
        <w:rPr>
          <w:rFonts w:eastAsiaTheme="minorHAnsi" w:hAnsi="Times New Roman"/>
          <w:sz w:val="20"/>
        </w:rPr>
      </w:pPr>
    </w:p>
    <w:sectPr w:rsidR="003E36BC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4A9" w:rsidRDefault="00F554A9" w:rsidP="00CE6B7C">
      <w:pPr>
        <w:spacing w:after="0" w:line="240" w:lineRule="auto"/>
      </w:pPr>
      <w:r>
        <w:separator/>
      </w:r>
    </w:p>
  </w:endnote>
  <w:endnote w:type="continuationSeparator" w:id="0">
    <w:p w:rsidR="00F554A9" w:rsidRDefault="00F554A9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CC7ED2">
        <w:pPr>
          <w:pStyle w:val="Altbilgi"/>
          <w:jc w:val="center"/>
        </w:pPr>
        <w:fldSimple w:instr=" PAGE   \* MERGEFORMAT ">
          <w:r w:rsidR="003E36BC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4A9" w:rsidRDefault="00F554A9" w:rsidP="00CE6B7C">
      <w:pPr>
        <w:spacing w:after="0" w:line="240" w:lineRule="auto"/>
      </w:pPr>
      <w:r>
        <w:separator/>
      </w:r>
    </w:p>
  </w:footnote>
  <w:footnote w:type="continuationSeparator" w:id="0">
    <w:p w:rsidR="00F554A9" w:rsidRDefault="00F554A9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370C9"/>
    <w:rsid w:val="00073B7C"/>
    <w:rsid w:val="000B4DEA"/>
    <w:rsid w:val="000D7DBE"/>
    <w:rsid w:val="000E37F2"/>
    <w:rsid w:val="000E72F9"/>
    <w:rsid w:val="00120B8D"/>
    <w:rsid w:val="001247BF"/>
    <w:rsid w:val="0012501B"/>
    <w:rsid w:val="00152242"/>
    <w:rsid w:val="00187B66"/>
    <w:rsid w:val="001917EB"/>
    <w:rsid w:val="00193767"/>
    <w:rsid w:val="00195C8D"/>
    <w:rsid w:val="0019652E"/>
    <w:rsid w:val="001B1871"/>
    <w:rsid w:val="001B789E"/>
    <w:rsid w:val="001F76B8"/>
    <w:rsid w:val="00211F4F"/>
    <w:rsid w:val="0022592F"/>
    <w:rsid w:val="00231ECE"/>
    <w:rsid w:val="002411CD"/>
    <w:rsid w:val="00280E2B"/>
    <w:rsid w:val="002950D7"/>
    <w:rsid w:val="0031216B"/>
    <w:rsid w:val="003320DC"/>
    <w:rsid w:val="003364E7"/>
    <w:rsid w:val="00347531"/>
    <w:rsid w:val="003E36BC"/>
    <w:rsid w:val="003F0A2F"/>
    <w:rsid w:val="003F0E00"/>
    <w:rsid w:val="00411676"/>
    <w:rsid w:val="00424401"/>
    <w:rsid w:val="00471995"/>
    <w:rsid w:val="00472BF0"/>
    <w:rsid w:val="00482506"/>
    <w:rsid w:val="004A47BB"/>
    <w:rsid w:val="004B600A"/>
    <w:rsid w:val="004C5729"/>
    <w:rsid w:val="004C64B0"/>
    <w:rsid w:val="004E3D3E"/>
    <w:rsid w:val="00500FD6"/>
    <w:rsid w:val="00516E98"/>
    <w:rsid w:val="00527A1F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54433"/>
    <w:rsid w:val="00667BFC"/>
    <w:rsid w:val="006B04AF"/>
    <w:rsid w:val="006C09BF"/>
    <w:rsid w:val="007114EF"/>
    <w:rsid w:val="0072024B"/>
    <w:rsid w:val="0072766F"/>
    <w:rsid w:val="007309FF"/>
    <w:rsid w:val="007420E4"/>
    <w:rsid w:val="00765CA5"/>
    <w:rsid w:val="007708A4"/>
    <w:rsid w:val="007835EC"/>
    <w:rsid w:val="007C55B8"/>
    <w:rsid w:val="007D4F0A"/>
    <w:rsid w:val="00802E28"/>
    <w:rsid w:val="008332C5"/>
    <w:rsid w:val="00843669"/>
    <w:rsid w:val="00846A18"/>
    <w:rsid w:val="0085186D"/>
    <w:rsid w:val="00867B1E"/>
    <w:rsid w:val="0087102D"/>
    <w:rsid w:val="00887767"/>
    <w:rsid w:val="00893744"/>
    <w:rsid w:val="008B6984"/>
    <w:rsid w:val="008C25B5"/>
    <w:rsid w:val="008D6AFF"/>
    <w:rsid w:val="008E2DD9"/>
    <w:rsid w:val="008E6D17"/>
    <w:rsid w:val="0090323C"/>
    <w:rsid w:val="00904273"/>
    <w:rsid w:val="00915BF0"/>
    <w:rsid w:val="00921D9E"/>
    <w:rsid w:val="00941744"/>
    <w:rsid w:val="00951485"/>
    <w:rsid w:val="00980465"/>
    <w:rsid w:val="009857E1"/>
    <w:rsid w:val="0099686A"/>
    <w:rsid w:val="009A0CB4"/>
    <w:rsid w:val="009D64C8"/>
    <w:rsid w:val="00A02020"/>
    <w:rsid w:val="00A35196"/>
    <w:rsid w:val="00A379EB"/>
    <w:rsid w:val="00AA786A"/>
    <w:rsid w:val="00AB21EA"/>
    <w:rsid w:val="00AC0A86"/>
    <w:rsid w:val="00AC4286"/>
    <w:rsid w:val="00AF4CAE"/>
    <w:rsid w:val="00B159E5"/>
    <w:rsid w:val="00B27AEA"/>
    <w:rsid w:val="00B65BBB"/>
    <w:rsid w:val="00B9274C"/>
    <w:rsid w:val="00BA2DE9"/>
    <w:rsid w:val="00BA3089"/>
    <w:rsid w:val="00BC1244"/>
    <w:rsid w:val="00BC1C79"/>
    <w:rsid w:val="00BD1E1C"/>
    <w:rsid w:val="00BD61D6"/>
    <w:rsid w:val="00C05E0B"/>
    <w:rsid w:val="00C0738B"/>
    <w:rsid w:val="00C107EE"/>
    <w:rsid w:val="00C17F93"/>
    <w:rsid w:val="00C2055D"/>
    <w:rsid w:val="00C44A38"/>
    <w:rsid w:val="00C62ADE"/>
    <w:rsid w:val="00C67988"/>
    <w:rsid w:val="00C67A24"/>
    <w:rsid w:val="00C82345"/>
    <w:rsid w:val="00C86466"/>
    <w:rsid w:val="00C9401D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930A9"/>
    <w:rsid w:val="00DA5C28"/>
    <w:rsid w:val="00DD7D93"/>
    <w:rsid w:val="00DF3052"/>
    <w:rsid w:val="00E00282"/>
    <w:rsid w:val="00E3660E"/>
    <w:rsid w:val="00E43E56"/>
    <w:rsid w:val="00E74904"/>
    <w:rsid w:val="00E96B82"/>
    <w:rsid w:val="00EB1FA7"/>
    <w:rsid w:val="00EF57AA"/>
    <w:rsid w:val="00F01301"/>
    <w:rsid w:val="00F43969"/>
    <w:rsid w:val="00F554A9"/>
    <w:rsid w:val="00F83100"/>
    <w:rsid w:val="00FA1887"/>
    <w:rsid w:val="00FA30A2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iPriority w:val="99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1111</Characters>
  <Application>Microsoft Office Word</Application>
  <DocSecurity>0</DocSecurity>
  <Lines>9</Lines>
  <Paragraphs>2</Paragraphs>
  <ScaleCrop>false</ScaleCrop>
  <Company>TURMOB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116</cp:revision>
  <cp:lastPrinted>2013-06-18T05:31:00Z</cp:lastPrinted>
  <dcterms:created xsi:type="dcterms:W3CDTF">2013-06-03T05:31:00Z</dcterms:created>
  <dcterms:modified xsi:type="dcterms:W3CDTF">2013-07-11T05:27:00Z</dcterms:modified>
</cp:coreProperties>
</file>