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B65BBB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Sayı : 28704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A0E63" w:rsidRPr="006A0E63" w:rsidRDefault="006A0E63" w:rsidP="006A0E63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AYAKTA TE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S VE TEDAV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YAPILAN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LIK KURULU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LARI</w:t>
      </w:r>
    </w:p>
    <w:p w:rsidR="006A0E63" w:rsidRPr="006A0E63" w:rsidRDefault="006A0E63" w:rsidP="006A0E6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6A0E63" w:rsidRPr="006A0E63" w:rsidRDefault="006A0E63" w:rsidP="006A0E63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A0E63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15/2/2008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26788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Ayakta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his ve Tedavi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2 nci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netmelik, ayakta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his ve tedavi hizmeti sunulan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olarak tan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A Tipi, B Tipi ve C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merkezlerini, A ve B tipi poliklinikleri, laboratuvar,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essese ve muayenehaneler ile bu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letenlerini kapsar.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inin 3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netmelik;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11/4/1928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1219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Tababet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uabat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San'atlar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Tarz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Dair Kanun, 7/5/1987 tarihli ve 3359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Temel Kanunu, 19/4/1937 tarihli ve 3153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Radiyoloji, Radiyom ve Elektrikle Tedavi ve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Fizyoterapi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esseseleri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Kanun, 19/3/1927 tarihli ve 992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Seriri Taharriyat ve Tahlilat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ve Masli Team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ller Aran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Umuma Mahsus Bakteriyoloji ve Kimya Laboratuvarlar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Kanunu ile 11/10/2011 tarihli ve 663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nde Kararnamenin 40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(d) bendinde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veya il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p merkezi kadrolar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belirlenen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lgelendirmesine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planlanan tabip/uzman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hizmet ihtiyac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belirlenir ve yat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listesinde ilan edilir.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(2)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belirlenen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en az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rt klinisyen uzmanla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faaliyete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tikleri tarihten itibaren iki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tamamlayabilirler.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(3)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netim Sistemine kaydedilir.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edilecek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nemlerde verilecek yeni kadrolar bu sistemde tan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merkezlerinin hekim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poliklinik ve muayenehanelerin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lemleri sistem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zerinden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r. Kadro ilaveleri, planlama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ilan edilecek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nemlerde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ve polikliniklerin tipleri dikkate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(4)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Komisyonunun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ilan edilen kadrolardan, bu kadrolar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kriterlere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uygun olmak ve A veya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merkezinin bildirece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kadro iptal edilmek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yla, kadro tahsisi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7 nci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A tipi poliklinik, en az iki tabip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tereken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labilen ve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letilebilen, hizmet birimleri do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rudan birbiriyle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olu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turulan ve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netmelik ile belirlenen asgari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yan; B tipi poliklinik ise en az iki tabip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tereken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letilebilen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udur.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merkezleri, mesle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ini serbest icra etmek hak ve yetkisi olan tabip veya birden fazla tabip ve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tabibi ortakl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en az % 51 hissesi tabip ve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tabibi ortakl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bulunan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labilir. C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merkezleri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ise mesle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ini serbest icra etmek hak ve yetkisi olan tabip veya birden fazla tabip ve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tabibi ortakl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9 uncu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ama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rultusunda, faaliyetine ihtiya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duyulan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kurum ve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bunlara ait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insan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hizmet birimleri ve nitelikleri ile teknoloji yo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unluklu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cihaz 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 kamu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kapsayacak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planlama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hizmetlerinin, demografik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epidemiyolojik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zellikler de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nde bulundurulmak suretiyle kaliteli, hakkaniyete uygun ve verimli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sunulmas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b)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kurum ve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hizmet kapasiteleri,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insan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bbi bilgi ve teknolojinin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lke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zeyinde dengeli 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c) Koruyucu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ve acil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gibi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halinde hizmet sunumunun gerekli oldu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alanlarda uygun kapasitenin olu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) Kaynak israf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kapasiteye yol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(2)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a, planlama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lisansland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lacak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ve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tesisleri belirlenir ve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lemler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30/11/2012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28483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Lisans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ilk 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mlesinde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ikinci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(2) A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 otopark, binan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ve imar yolu duvar gibi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bozacak uygulamalar bulunmamak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biti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ik parsel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zerinde de kurulabilir.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) bentleri hari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er bentlerinde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belgeler aran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merkezlerinde, ilgili belediyece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ve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kolay ve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venli ula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mesafesindeki bir otoparkta yer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suretiyle otopark ihtiyac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bu durumun ilgili belediyece belgelendirilmesi gerekir. Ancak,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merkezlerinin acil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nitesi veya poliklinik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 acil ve poliklinik hastalar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nelik, trafi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engellemeyecek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ekilde en az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adet ara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bekleme alan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turulur. Hasta ve hasta yak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otoparka nakli hususunda gerekli tedbirler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hizmet sunulur.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11 inci maddesi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A ve B Tipi T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p merkezlerinde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n izin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ktan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in,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belgeler ile tam tak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m mimari proje, incelenmek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vas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alan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10 uncu maddenin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haiz oldu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dair yetkili mercilerden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belgeler,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b)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merkezinin hizmet birimlerinin yerle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imi ile 10 uncu maddeye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belirlenen otopark miktar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otopark ile ilgili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sterildi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i, projeyi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rlayan mimar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imzas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tam tak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mimari proje,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1) 1/500 veya 1/200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 vaziyet plan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2) 1/100 veya 1/50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kat planlar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3) Cerrahi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olanlarda, bir tanesi ameliyathaneden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en en az iki kesit ve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cepheleri.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(b) bendinde yer alan mimari projeler, inceleme sonucunda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ise,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imar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olarak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olarak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rlanan mimari projeler,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edilecek yer, belediye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cavir alan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ise ilgili belediye;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cavir alan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ise valilik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onaylanarak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vas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nderilir.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ve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teslim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nan evraklar, dizi pusulas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kabul edilir.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vurusu, bu maddede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belgelerde eksiklik ve/veya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uygunsuzluk bulunmamas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intikal etti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tarihten itibaren en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sonu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belgesi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zenlenir veya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belgelerinde tespit edilen eksiklik ve/veya uygunsuzluk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(4)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ca,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durumlarda da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ka ama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 in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edilmi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binalar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lmesi halinde tadilat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lerine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verilmi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mimari projenin uygulanmas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nda, bu projede bir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durumunda,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c)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na, 9 uncu maddedeki planlamaya uygun olmak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ilave bina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istenmesi halinde.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belgesi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faaliyete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inceye kadar devredilemez.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(6)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veya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izni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nmak ve binan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imar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uygun olarak kullan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izin verilen toplam br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 alan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tirmemek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unsuru etkilemeyen nitelikteki esasl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tadilat gerektirmeyen tadilat ve tamiratlar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halinde, gerekti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yang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ve deprem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nden uygunlu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da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Belediyeden proje onay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ruhsata esas son proje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zerinde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izin verilir.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12 nci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A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stakil binalarda kurulur. Ancak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binan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inden itibaren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 asans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merdiven kullan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stakiliyet arz eden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da kurulabilir. Bu durumda, yang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ka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merdivenlerine ula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 dair uygunluk aran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Cerrahi uygulama yapacak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merkezlerinin A ve B tipi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tipi poliklinikler,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yan binalarda kurulur: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12/A maddesinin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merkezlerinin zorunlu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hizmet birimleri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maddede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ibarelerinden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ve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(c) bendinin sonuna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alt bent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(f) bendi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10) Merkez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sterilizasyon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nitesi: Sterilizasyon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nitesinde kirli malzeme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i-y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kama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k-paketleme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sterilizasyon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lemi-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steril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malzeme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 olmak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Kirli alanlar ile temiz alanlar aras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sadece malzeme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bu iki alan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ift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otoklav ile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nmesi gerekir. Tek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otoklav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kullan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durumlarda cihaz temiz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mde bulunmak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r. Sterilizasyon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nitesi hem ameliyathane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steril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koridoru hem de genel koridor ile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olur. Kirli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 genel koridordan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; temiz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 de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steril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koridordan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12/B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ilk 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mlesinin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(a) ile (c) bentleri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a) Katlar aras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sedye ile hasta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olanak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merdivenin sahanl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en az 1,20 m.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gerekir. Merdiven 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lerin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zorla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rmayacak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 bir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hla bitirilmesi, merkez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uygun 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imli rampa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c) Otomatik olarak devreye giren ve elektrik projesinde hesaplanan kurulu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en az % 70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nitelikte olan bir jenerat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ile ilgili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uygun bir adet sedye asans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bulunur. Ancak cerrahi uygulama yapmayacak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 sedye asans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 olmay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hastan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tekerlekli sandalye ile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ilgili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uygun asans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yeterlidir.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12/C maddesinin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ve maddede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merkezlerinin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ibarelerinden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12/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tipi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ve maddede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polikliniklerde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ibarelerinden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tipi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(d) bendi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d) Poliklinik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katta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ilse,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 bulundu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binada hastan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tekerlekli sandalye ile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ilgili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uygun asans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gerekir. Merdivenin sedye ile hasta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olanak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ekilde, merdiven ve sahanl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en az 1,20 m.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gerekir. Merdiven 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lerin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zorla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rmayacak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 bir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hla bitirilmesi,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 giri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uygun 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imli rampa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yedinci, sekizinci ve dokuzuncu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(7)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k,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ruhsatname ve faaliyet izin belgesi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lemlerini valiliklere devredebilir.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(8)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merkezlerine ruhsat verilmesinden sonra, EK-5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sterilen personelin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ismi, unvan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meslek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kariyerleri ile ilgili bilgileri ihtiva eden personel listesi, kadro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an tabipler de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tabiplerle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melerin asl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ndan tasdikli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rnekleri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verilir.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personelini tamamlad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tespit edilen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merkezi, en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bildirilir.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a, EK-2/c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sterilen Faaliyet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zin Belgesi yedi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zenlenir ve bu belgenin verilmesi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hasta kabul ve tedavisine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(9)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tarihten itibaren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faaliyet izin belgesi alarak hasta kabul ve tedavisine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lamayan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merkezinin ruhsatnamesinin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kalmaz ve verilen ruhsatname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iptal edilir.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(e) bendi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16 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(c) bendi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19 uncu maddesine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(7) Asgari personel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lmesi veya bina tadilat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ve polikliniklerin en fazla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l, laboratuvar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esseselerin ise en fazla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reyle faaliyetleri ask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nabilir.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merkezinde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dahale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hastalarda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dahaleye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geli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komplikasyonlar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ve/veya yo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 bak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hizmetine ihtiya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olan durumlarda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nceden belirlenmi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, koordineli olarak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ve bu hizmetlerin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veya kamu hastaneleriyle gereken koordinasyon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lanarak hasta transfer edilir.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21 inci maddesinin ikinci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(a) bendinin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yedinci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onuncu ve onbirinci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Hizmet bedelinin tahsiliyle ilgili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lemler, acil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dahale ve bak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ktan sonra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(10)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tespiti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acil vakalar haricinde hasta kabul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reyle valilik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durdurulur ve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kralara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tekrar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acil vakalar haricinde hasta kabul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reyle valilik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durdurulur ve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yetki belgesi iptal edilir. Bu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kralara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kere tespit edilmesi halinde,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unun faaliyeti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reyle durdurulur ve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yetki belgesi iptal edilir. Bu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kralara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tespitinde ise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ruhsatnamesi iptal edilir.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(11) Acil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nitesine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vuran bir hastan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tedavisi bu maddenin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uygun olarak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olmakla birlikte,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Kanununa 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ilave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crete tabi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tespit edilmesi durumunda hastanenin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tespitte hastanenin acil vakalar haricinde hasta kabul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bir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reyle valilik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durdurulur.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ayk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daha fazla tespitinde ise bu maddenin onuncu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yer alan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eyyideler birinci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eyyide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uygulan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27 nci maddesinin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(6) Elektronik ortamdaki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venli olmayan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nda, yaz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t tutulur.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15/1/2004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5070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Elektronik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mza Kanunu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mlerine uygun elektronik imza ile imzalanm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tlar, resmi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 olarak kabul edilir ve ilgili mevzuata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yedekleme ve 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ivlemesi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34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(8) A veya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C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emez.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 1 inci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merkezi, poliklinik, laboratuvar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esseselerin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nmak istenmesi halinde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vurulur.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lmesi ve izin verilmesi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lemlerini iki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tamamlar.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ise iki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izin belgesi almak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izin tarihinden itibaren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u, faaliyetine mevcut kapasitesi ile devam edebilir veya faaliyetini ask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 alabilir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tebligat adresi bildirerek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altabilir.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ve poliklinikler,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 talebinde bulunduklar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takdirde A veya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ile A tipi poliklinik olarak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Ancak, il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ile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 talebi halinde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vuru,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Komisyonuna sunulur. Komisyon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vuruyu,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belirlenen planlama ilkeleri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hizmeti sunulmas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asgari 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fus ve/veya ilde verilmesi hedeflenen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ile uzman/tabip 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nden daha az yo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unluklu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lgeleri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ncelikle dikkate alarak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erlendirir.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ise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nmaya izin verilir.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hastanenin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nyesine kat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lmalarda hastanenin fizik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yeterli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il ise,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Hastaneler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ek bina veya tadilat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c) Cerrahi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dahale birimi bulunan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merkezlerine,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ta kadrolu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rev yapan anestezi ve reanimasyon uzman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halinde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 ihtiyac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talebi dikkate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bu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bir kadro verilebilir.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verilen kadrolar, kadro devri yoluyla devredilemez. Ancak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devri ve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meleri istisnad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(12) 1219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Tababet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uabat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San'atlar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Tarz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Dair Kanunun 12 nci maddesine uygun olmak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mesle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ini serbest olarak icra eden hekimler, muayenehanesine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racaat eden hastalar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his ve tedavisini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merkezinde yapabilirler. Bu durumda hastalar, tedavi masraflar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kendileri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hususunda bilgilendirilir. Bu durumda,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merkezinin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her ay sonu itibariyle tedavi edilen hasta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hekim ismini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bildirir.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ca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tedavi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ren hastalara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fatura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 2 nci maddesi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Konaklama tesislerinde sunulacak sa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k hizmetleri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EK MADDE 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Be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 yataktan fazla yata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sahip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belgeli konaklama tesislerinde,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 kurulmas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 olmayan konaklama tesislerinde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leteninin talebi halinde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 kurulabilir.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ab/>
        <w:t>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nitesi, konaklama tesislerinde konaklayan ki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ilerin ani geli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problemlerinde ve acil durumlarda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dahale, muayene ve sevk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lemlerinin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zenlenmesi amac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yla kurulan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nitedir.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niteler, konaklama tesisinde acil hasta transferine uygun, kolay eri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ilebilir bir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mde kurulur.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ca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niteler; ila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malzeme,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donan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ve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muayenehaneler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belirlenen asgari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netmelikte muayenehaneler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muayene odas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b) Bulundu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ilde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kurulacak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nite, bu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 kadro ve kapasitesi kullan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larak planlamadan istisna olarak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labilir. Bir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lmak istenmeyen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nitelerin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planlama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belirlenir.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 olarak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istenen birimler bir hekimin sorumlulu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unda kurulup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c) Konaklama tesisleri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nyesindeki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nitelerinde tam zamanl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an asgari bir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personeli bulunur. Planlama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 olarak bir hekimin sorumlulu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unda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nitelerindeki hekimler yaln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zca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nitenin sorumlulu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unu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stlenebilir. Bir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u, kadrolu hekim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kadar konaklama tesisinde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abilir.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nitelerde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acak personelin isimleri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 programlar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ilgili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 bildirilir.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bildirilen personeller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acaklar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birimlere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 belgesi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 belgeleri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nitesinde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lecek bir yere 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r. Bu birimlerde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an hekim ilgili mevzuata uygun olmak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zamanda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yeri hekimli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de yapabilir.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) Bir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letilen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nitelerinin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sorumlulu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aittir.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belgeli konaklama tesislerinde sadece akut tedavisi tamamlanm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konaklama tesisinde konaklayan ki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ilere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nelik olmak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yla fizik tedavi ve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essesesi veya obeziteyle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cadele, diyabet ve ayaktan kanser tedavisi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ren hastalara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nelik koruyucu ve destekleyici nitelikte poliklinikler planlama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kurulabilir. Konaklama tesisinin bulundu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u ildeki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kendi kadro ve kapasitesi kullanmak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planlamadan istisna olarak konaklama tesislerinde birim olarak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labilir. Bu birimlerin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ilde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olaca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faaliyetlerinden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sorumludur.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a) Bu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krada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birimler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Bu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birimler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netmelikteki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essese veya poliklinik fiziki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bbi donan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mak ve hekim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zetimi ve kontrol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 bulunmak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1) Konaklama tesislerinde hizmet sunulmas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ve kurulmas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talep edilen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veya birim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in,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letmecinin konaklama tesisi yat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racaat etti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ine dair bir belgeyle birlikte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ktan izin talep eder.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2)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planlanma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talep edilen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 yatak kapasitesi ve personel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erlendirir.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3)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ktan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nan izin belgesi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zerine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unun fiziki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ktan sonra ilgili mevzuata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racaat eder.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ruhsatname, birim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ise uygunluk belgesi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zenlendikten sonra yat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bu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turizm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letme belgesi kapasitesine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4) Bu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birimlerin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ma saatleri, tesisin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ma program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saatleriyle uyumlu olarak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zenlenir. Acil durumlarda hasta nakline uygun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zenlemeler bulunmas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5) Bu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konaklama tesislerinin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namaz ve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yla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(3) Konaklama tesislerinde sunulacak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hizmetlerine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nelik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hususlarda ilgili mevzuat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2 nci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Bu maddenin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tarihten itibaren,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9/3/2000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23988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Ayakta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his ve Tedavi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larak faaliyet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steren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p/dal merkezleri, C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merkezi; poliklinikler B tipi poliklinik olarak kabul edilir. Bu madde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 girmeden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p/dal merkezleri ile poliklinikler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uygunluk belgeleri C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ve B tipi poliklinik ruhsatnamesi ve faaliyet izin belgesi olarak kabul edilir.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(2) Bu maddenin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 talebi bulunan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9/3/2000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23988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Ayakta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his ve Tedavi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uygunluk belgesi tanzimi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sonu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(3) Bu maddenin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tarihten itibaren kadrolu klinisyen uzman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olan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p/dal merkezlerinin mevcut klinisyen kadro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asgari kadro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kabul edilir ve bu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faaliyetlerine devam etmelerine izin verilir.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merkezleri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 bitimine kadar, uzman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asgari kadronun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o il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ka bir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merkezine veya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devredebilir veya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 kendi aralar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kar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imi yapabilirler.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ka bir ildeki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 veya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merkezine kadro devri ve kar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olarak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imi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Komisyonunun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uygun bulunmas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tarihinden sonra planlama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merkezlerin devri ile kadro devri ve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imi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lamaz.  Devir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nan kadrolar sebebiyle;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zel hastane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izni,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nite, birim, planlama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cihaz ilavesi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elde edilmi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ise, bu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tarihine kadar yeniden devri halinde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 kadrolardan do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an haklar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ve bu haklar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(5) A veya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ve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yan ve buna ili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kin belgeleri bulunan mevcut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p/dal merkezlerinden,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 gerekli belgeler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belirlenenlere ruhsat harc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Ek-2/a ve Ek-2/c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ye uygun olarak A veya B tipi ruhsatnamesi ve faaliyet izin belgesi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zenlenir.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(6) A tipi poliklinik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yan ve buna ili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kin belgeleri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bulunan  mevcut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polikliniklerden,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 gerekli belgeler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belirlenenlere ruhsat harc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Ek-2/b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ye uygun olarak A tipi poliklinik ruhsatnamesi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9/3/2000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tarihli ve 23988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mlanan Ayakta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his ve Tedavi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denetimi, EK-6 ve EK-7/b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denetim formlar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(8) Mevcut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p/dal merkezleri, bu maddenin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 tarihte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nyesinde bulunan birimler ve bu madde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 girmeden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olan birimler ile faaliyetine devam edebilir.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(9)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merkezi, poliklinik, laboratuvar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esseselerin birbirleriyle ve/veya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hastanelerle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talebiyle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 bitiminde sona erer.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tarihinden sonra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talebinde bulunamaz.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lemi tamamlanan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tekrar ayr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 talebinde bulunamaz.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vurusu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verilen izin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nda;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lemlerini iki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inde tamamlar. Asgari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rt klinisyen uzman kadrosu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lanmak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merkezine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halinde ise iki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belgesi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nmak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izin tarihinden itibaren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u, faaliyetine mevcut kapasitesi ile devam edebilir veya faaliyetini ask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 alabilir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tebligat adresi bildirerek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altabilir. 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suretiyle;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olarak faaliyet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sterecek olanlar, A veya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olarak, poliklinik olarak faaliyet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sterecek olanlar ise A tipi poliklinik olarak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lmak zorundad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Ancak, il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ile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 talebi halinde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vuru,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Komisyonuna sunulur. Komisyon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vuruyu,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belirlenen planlama ilkeleri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hizmeti sunulmas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asgari 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fus ve/veya ilde verilmesi hedeflenen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ile uzman/tabip 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nden daha az yo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unluklu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lgeleri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ncelikle dikkate alarak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erlendirir.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ise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me/d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 izin verilir.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(10)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ve poliklinikler tek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veya (a) bendi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larla birle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erek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ebilir.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 talebiyle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 bitiminde sona erer.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vuru,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Komisyonuna sunulur. Komisyon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vuruyu,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belirlenen planlama ilkeleri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evesinde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hizmeti sunulmas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len asgari 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fus ve/veya ilde verilmesi hedeflenen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 ile uzman/tabip da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nden daha az yo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unluklu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lgeleri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ncelikle dikkate alarak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erlendirir.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vuru uygun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ise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me izin verilir.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mde,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 tarihinden itibaren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izin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lemleri ilgili mevzuat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 Bu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u, faaliyetine mevcut kapasitesi ile devam edebilir veya ruhsatland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ncaya kadar faaliyetini ask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ya alabilir ve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tebligat adresi bildirerek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binas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altabilir.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(11) Onuncu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ebilmeleri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kadrolu uzman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o il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 izin verilecek hastane yatak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asgar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1/3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ndaki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 olmas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 belirlenen planlama ilkeleri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evesinde Planlama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stihdam Komisyonu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narak, o ilde kamu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hizmetlerinin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lmesi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yeterli uzman bulunmas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hastaneye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ecek bu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lara kadrolar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bulunmayan; anestezi ve reanimasyon uzman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laboratuvar uzman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radyoloji uzman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kadrosu verilebilir veya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 bu ihtiyac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6 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kadro devralma yoluyla temin edebilir.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ici 9 uncu maddesinin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10 uncu maddesinin birinci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ekilde ve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on sekiz 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belirtilen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(1) 17/7/1964 tarihli ve 506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Sosyal Sigortalar Kanununun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20 nci maddesi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ndaki bankalar, sigorta ve </w:t>
      </w: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reas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rans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irketleri, ticaret odalar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sanayi odalar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, borsalar veya bunlar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kil ettikleri birlikler personeli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kurulmu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bulunan sand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klara ait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birimleri, 31/5/2006 tarihli ve 5510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Kanununun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20 nci maddesinde belirlenen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renin sonuna kadar faaliyet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sterir. Belirtilen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sonunda kapat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tespit edilen birimler ilgili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kapat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Konaklama tesislerinde </w:t>
      </w:r>
      <w:proofErr w:type="gramStart"/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halihaz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rda</w:t>
      </w:r>
      <w:proofErr w:type="gramEnd"/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an hekimler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11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(1) Bu maddenin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nce son bir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erisinde en az alt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 konaklama tesisinde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belgeleyen fakat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ka herhangi bir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kadrosunda bulunmayan hekimler, bu madde kapsam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konaklama tesisi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nyesinde kurulacak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veya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nitesinde bir defaya mahsus olmak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abilir. </w:t>
      </w:r>
      <w:proofErr w:type="gramEnd"/>
      <w:r w:rsidRPr="006A0E63">
        <w:rPr>
          <w:rFonts w:ascii="Times New Roman" w:eastAsia="ヒラギノ明朝 Pro W3" w:hAnsi="Times" w:cs="Times New Roman"/>
          <w:sz w:val="18"/>
          <w:szCs w:val="18"/>
        </w:rPr>
        <w:t>Bu hekimler ilgili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una ilave kadro hakk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vermeyip kadro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ici stat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dedir.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EK-1/a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1-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 Ruhsatname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Gerekli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1- A ve B Tipi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Merkezlerinde Ruhsatname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Gerekli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eklinde ve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3, 4, 6 ve 11 inci maddeleri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2- Polikliniklerde Ruhsatname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Gerekli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12 nci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3)  Binan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kullanma izni belgesinin onayl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4) Yang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gereken tedbirlerin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kin olarak ilgili mevzuata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yetkili mercilerden 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olan belge,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6)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merkezi ticaret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lacak ise,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sterir ticaret sicili gazetesinin asl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tabip olanlar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tabip olduklar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belgelemek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tabip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varsa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belgelerinin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tasdikli suretleri,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ger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i/ki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lacak ise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fak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ltesi diploma/diplomalar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varsa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belgelerinin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tasdikli suretleri,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11) EK-5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re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p merkezinde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acak asgari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uzman/tabiplerin 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/uzmanl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belgeleri, tabip odas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 belgesi ile hizmet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meleri; tabip harici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hizmet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meleri ve 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tasdikli suretleri,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12) Poliklinikte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an hekimlerin tabip odas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 belgeleri,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EK-1/b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unun Devrinde Ruhsatname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Gerekli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2 nci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2)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devrinin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steren devir s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mesi yan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 devralan ticaret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irketi ise,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sterir ticaret sicili gazetesinin asl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veya asl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lerek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onayl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tabip olduklar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belgelemek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tabip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varsa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belgelerinin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tasdikli suretleri, 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hari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tabip olduklar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belgelemek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zere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diplomalar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n, varsa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belgelerinin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tasdikli suretleri,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EK-1/c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unun Ba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ka Yere Nakli Durumunda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stenecek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3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3)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in,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kullanma izni belgesinin ilgili belediye veya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onayl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i; poliklinik 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in,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stakil binada ise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 kayd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olan,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stakil binada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il ise binan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kullanma izni belgesinin onayl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i;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in ekinde yer alan EK-2/a, EK-2/b ve EK-2/c ekteki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ekinde yer alan EK-5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te yer alan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II- Uzman Tabip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III-Tabip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poliklinik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II-Uzman Tabip/Tabip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ekin 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 Merkezi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VIII-Fizyoterapist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ile poliklinik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VI-Fizyoterapist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II-UZMAN TAB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Hasta kabul ve tedavi edece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i, asgar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 her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en az bir uzman tabip bulunur.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III-TAB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Acil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 bulunan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unda bir pratisyen tabip veya klinik olmayan uzmanl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dallar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ndan bir uzman tabip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 Mevcut kadrolu uzman tabipler, mesul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rce d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zenlenen 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bet listesine g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re acil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nitesinde pratisyenlik yetkisini de kullanarak 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bet tutabilir.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II-UZMAN TAB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P/TAB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P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sz w:val="18"/>
          <w:szCs w:val="18"/>
        </w:rPr>
        <w:t>Hasta kabul ve tedavi edece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i, asgar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 en az bir uzman tabip/tabip bulunur.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ekinde yer alan EK-6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1.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m: Faaliyete Esas Bilgiler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tablosunun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Faaliyetine Esas Bilgi ve Belgeler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5-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nda tabip/uzman/di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tabibi olmayan var 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?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daki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 eklenmi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850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662"/>
        <w:gridCol w:w="530"/>
        <w:gridCol w:w="2258"/>
        <w:gridCol w:w="2259"/>
      </w:tblGrid>
      <w:tr w:rsidR="006A0E63" w:rsidRPr="006A0E63">
        <w:trPr>
          <w:trHeight w:val="2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 A ve B tipi Tıp merkezi hariç sağlık kuruluşunun işleteni şirket ortaklarında tabip/uzman/diş tabibi olmayan var mı? Tüzel kişiler tarafından açılan A ve B tipi tıp merkezlerinde tabip ortaklığı %51’ in altında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 gün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Aykırılık giderilinceye kadar faaliyet durdurulur.</w:t>
            </w:r>
          </w:p>
        </w:tc>
      </w:tr>
    </w:tbl>
    <w:p w:rsidR="006A0E63" w:rsidRPr="006A0E63" w:rsidRDefault="006A0E63" w:rsidP="006A0E63">
      <w:pPr>
        <w:spacing w:after="0" w:line="240" w:lineRule="exact"/>
        <w:ind w:left="8495" w:firstLine="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”</w:t>
      </w:r>
    </w:p>
    <w:p w:rsidR="006A0E63" w:rsidRPr="006A0E63" w:rsidRDefault="006A0E63" w:rsidP="006A0E63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8"/>
        <w:gridCol w:w="646"/>
        <w:gridCol w:w="518"/>
        <w:gridCol w:w="2287"/>
        <w:gridCol w:w="2286"/>
      </w:tblGrid>
      <w:tr w:rsidR="006A0E63" w:rsidRPr="006A0E63">
        <w:trPr>
          <w:trHeight w:val="2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 Cerrahi müdahale biriminde yapılan cerrahi işlemler esnasında anestezi uzmanı veya teknisyeni var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63" w:rsidRPr="006A0E63" w:rsidRDefault="006A0E63" w:rsidP="006A0E63">
            <w:pPr>
              <w:spacing w:after="0" w:line="240" w:lineRule="exact"/>
              <w:ind w:right="17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Cerrahi müdahale biriminin faaliyeti eksiklik giderilinceye kadar durdurulur ve mesul müdür uyarılır.</w:t>
            </w:r>
          </w:p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right="17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İkinci kez tekrarında ilgili birimin faaliyeti 3 gün süreyle durdurulur. Üçüncü kez tekrarında ise cerrahi müdahale birimi kapatılır.</w:t>
            </w:r>
          </w:p>
        </w:tc>
      </w:tr>
    </w:tbl>
    <w:p w:rsidR="006A0E63" w:rsidRPr="006A0E63" w:rsidRDefault="006A0E63" w:rsidP="006A0E63">
      <w:pPr>
        <w:spacing w:after="0" w:line="240" w:lineRule="exact"/>
        <w:ind w:left="4247" w:firstLine="709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”</w:t>
      </w:r>
    </w:p>
    <w:p w:rsidR="006A0E63" w:rsidRPr="006A0E63" w:rsidRDefault="006A0E63" w:rsidP="006A0E63">
      <w:pPr>
        <w:spacing w:after="0" w:line="240" w:lineRule="exact"/>
        <w:ind w:left="4247" w:firstLine="709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in ekinde yer alan EK-6/a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1. B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m: Faaliyete Esas Bilgiler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tablosunun 10 uncu sat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A0E63" w:rsidRPr="006A0E63" w:rsidRDefault="006A0E63" w:rsidP="006A0E63">
      <w:pPr>
        <w:spacing w:after="0" w:line="240" w:lineRule="exact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8"/>
        <w:gridCol w:w="709"/>
        <w:gridCol w:w="676"/>
        <w:gridCol w:w="2017"/>
        <w:gridCol w:w="1843"/>
        <w:gridCol w:w="1000"/>
      </w:tblGrid>
      <w:tr w:rsidR="006A0E63" w:rsidRPr="006A0E63">
        <w:trPr>
          <w:trHeight w:val="20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10-Muayenehanedeki matbu evraklar ve tanıtıma yönelik uygulamalar 1219 sayılı Kanun’a, Tıbbi Deontoloji Nizamnamesine ve Yönetmeliğin 29 uncu maddesinde belirtilen esaslara uygun mu?**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63" w:rsidRPr="006A0E63" w:rsidRDefault="006A0E63" w:rsidP="006A0E63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63" w:rsidRPr="006A0E63" w:rsidRDefault="006A0E63" w:rsidP="006A0E6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 verilmez. 1 gün kapatılır.</w:t>
            </w:r>
          </w:p>
          <w:p w:rsidR="006A0E63" w:rsidRPr="006A0E63" w:rsidRDefault="006A0E63" w:rsidP="006A0E63">
            <w:pPr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0E63" w:rsidRPr="006A0E63" w:rsidRDefault="006A0E63" w:rsidP="006A0E6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A0E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Muayenehanenin faaliyeti 5 gün süreyle durdurulur.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63" w:rsidRPr="006A0E63" w:rsidRDefault="006A0E63" w:rsidP="006A0E63">
            <w:pPr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</w:tbl>
    <w:p w:rsidR="006A0E63" w:rsidRPr="006A0E63" w:rsidRDefault="006A0E63" w:rsidP="006A0E63">
      <w:pPr>
        <w:spacing w:after="0" w:line="240" w:lineRule="exact"/>
        <w:ind w:firstLine="709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”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6A0E6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A0E6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A0E63" w:rsidRPr="006A0E63" w:rsidRDefault="006A0E63" w:rsidP="006A0E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6A0E63" w:rsidRPr="006A0E63" w:rsidRDefault="006A0E63" w:rsidP="006A0E63">
      <w:pPr>
        <w:spacing w:after="0" w:line="240" w:lineRule="exact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EK-2/a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T.C. 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SAĞLIK BAKANLIĞI 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TIP MERKEZİ RUHSATNAMESİ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Ruhsat No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Tarih ve Sayı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Adı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Tipi     :</w:t>
      </w:r>
      <w:proofErr w:type="gramEnd"/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 xml:space="preserve">Adresi 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Sahipliğin Adı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Poliklinik Sayısı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Gözlem Yatak Sayısı 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Acil Gözlem Yatak Sayısı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Mimari Proje Onay/Revizyon Tarihi :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6A0E63" w:rsidRPr="006A0E63" w:rsidRDefault="006A0E63" w:rsidP="006A0E6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Tıp Merkezleri ile ilgili mevzuat hükümleri dâhilinde yukarıda adı yazılı tıp merkezinin Faaliyet İzin Belgesi ile birlikte hasta kabul ve tedavi etmek üzere faaliyet göstermesi için işbu ruhsat verilmiştir.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      ONAY</w:t>
      </w:r>
    </w:p>
    <w:p w:rsidR="006A0E63" w:rsidRPr="006A0E63" w:rsidRDefault="006A0E63" w:rsidP="006A0E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EK-2/b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SAĞLIK BAKANLIĞI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POLİKLİNİK RUHSATNAMESİ</w:t>
      </w: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Ruhsat No: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Tarih: 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   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Tipi   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Adresi ve Telefonu 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İşleteni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tabs>
          <w:tab w:val="left" w:pos="2271"/>
        </w:tabs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Çalışma Saatleri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Hasta Kabul ve Tedavi Edeceği Uzmanlık Dalları: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Hizmet Birimleri (Uzmanlık dallarının gerektirdiği poliklinik odası haricindeki):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1) Laboratuvarlar: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2) Radyoloji görüntüleme cihazları: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3) Sözleşme ile satın alınan tıbbi hizmetler: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Yukarıda adı ve adresi belirtilen polikliniğin hasta kabul ve tedavi etmek üzere faaliyet göstermesi Sağlık Bakanlığınca uygun görülmüştür. 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ONAY</w:t>
      </w:r>
    </w:p>
    <w:p w:rsidR="006A0E63" w:rsidRPr="006A0E63" w:rsidRDefault="006A0E63" w:rsidP="006A0E63">
      <w:pPr>
        <w:tabs>
          <w:tab w:val="left" w:pos="114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6A0E63" w:rsidRPr="006A0E63" w:rsidRDefault="006A0E63" w:rsidP="006A0E63">
      <w:pPr>
        <w:tabs>
          <w:tab w:val="left" w:pos="114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EK-2/c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Ruhsat </w:t>
      </w:r>
      <w:proofErr w:type="gramStart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No :</w:t>
      </w:r>
      <w:proofErr w:type="gramEnd"/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Tarih ve </w:t>
      </w:r>
      <w:proofErr w:type="gramStart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Sayı :</w:t>
      </w:r>
      <w:proofErr w:type="gramEnd"/>
    </w:p>
    <w:p w:rsidR="006A0E63" w:rsidRPr="006A0E63" w:rsidRDefault="006A0E63" w:rsidP="006A0E6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TIP MERKEZİ FAALİYET İZİN BELGESİ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Adı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Tipi: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Adresi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Sahipliğin Adı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Çalışma Saatleri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HASTA KABUL VE TEDAVİ EDECEĞİ UZMANLIK DALLARI: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Kadrolu Uzmanlık Dalları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HİZMET BİRİMLERİ (Uzmanlık Dallarının Gerektirdiği Poliklinik Odası Haricindeki):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1) Laboratuarlar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2) Radyoloji Görüntüleme Cihazları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3) Sözleşme ile satın alınan tıbbi hizmetler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4) Koordineli çalışacağı hastane/hastaneler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5) Diğer hizmet birimleri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Revizyon Onay Tarih-Sayı</w:t>
      </w: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Özel Tıp Merkezleri ile ilgili Mevzuat hükümlerine göre hasta kabul ve tedavi etmek üzere yukarıda yazılı özel tıp merkezinin faaliyet göstermesi için …/…/</w:t>
      </w:r>
      <w:proofErr w:type="gramStart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….</w:t>
      </w:r>
      <w:proofErr w:type="gramEnd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tarihinde</w:t>
      </w:r>
      <w:proofErr w:type="gramEnd"/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iş bu belge düzenlenmiştir.</w:t>
      </w:r>
    </w:p>
    <w:p w:rsidR="006A0E63" w:rsidRPr="006A0E63" w:rsidRDefault="006A0E63" w:rsidP="006A0E63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A0E63" w:rsidRPr="006A0E63" w:rsidRDefault="006A0E63" w:rsidP="006A0E6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  <w:r w:rsidRPr="006A0E63">
        <w:rPr>
          <w:rFonts w:ascii="Times New Roman" w:eastAsia="Times New Roman" w:hAnsi="Times New Roman" w:cs="Times New Roman"/>
          <w:sz w:val="18"/>
          <w:szCs w:val="18"/>
          <w:lang w:eastAsia="tr-TR"/>
        </w:rPr>
        <w:t>ONAY</w:t>
      </w:r>
    </w:p>
    <w:p w:rsidR="006A0E63" w:rsidRDefault="006A0E63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6A0E6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05" w:rsidRDefault="00225905" w:rsidP="00CE6B7C">
      <w:pPr>
        <w:spacing w:after="0" w:line="240" w:lineRule="auto"/>
      </w:pPr>
      <w:r>
        <w:separator/>
      </w:r>
    </w:p>
  </w:endnote>
  <w:endnote w:type="continuationSeparator" w:id="0">
    <w:p w:rsidR="00225905" w:rsidRDefault="0022590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64F4D">
        <w:pPr>
          <w:pStyle w:val="Altbilgi"/>
          <w:jc w:val="center"/>
        </w:pPr>
        <w:fldSimple w:instr=" PAGE   \* MERGEFORMAT ">
          <w:r w:rsidR="006A0E6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05" w:rsidRDefault="00225905" w:rsidP="00CE6B7C">
      <w:pPr>
        <w:spacing w:after="0" w:line="240" w:lineRule="auto"/>
      </w:pPr>
      <w:r>
        <w:separator/>
      </w:r>
    </w:p>
  </w:footnote>
  <w:footnote w:type="continuationSeparator" w:id="0">
    <w:p w:rsidR="00225905" w:rsidRDefault="0022590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0A63"/>
    <w:rsid w:val="000D7DBE"/>
    <w:rsid w:val="000E37F2"/>
    <w:rsid w:val="000E72F9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05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A0E63"/>
    <w:rsid w:val="006B04AF"/>
    <w:rsid w:val="006C09BF"/>
    <w:rsid w:val="007114EF"/>
    <w:rsid w:val="0072024B"/>
    <w:rsid w:val="0072766F"/>
    <w:rsid w:val="007309FF"/>
    <w:rsid w:val="007420E4"/>
    <w:rsid w:val="00764F4D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23F02"/>
    <w:rsid w:val="00941744"/>
    <w:rsid w:val="00951485"/>
    <w:rsid w:val="00980465"/>
    <w:rsid w:val="009857E1"/>
    <w:rsid w:val="0099686A"/>
    <w:rsid w:val="009A0CB4"/>
    <w:rsid w:val="009D64C8"/>
    <w:rsid w:val="00A02020"/>
    <w:rsid w:val="00A0296A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5648</Words>
  <Characters>32197</Characters>
  <Application>Microsoft Office Word</Application>
  <DocSecurity>0</DocSecurity>
  <Lines>268</Lines>
  <Paragraphs>75</Paragraphs>
  <ScaleCrop>false</ScaleCrop>
  <Company>TURMOB</Company>
  <LinksUpToDate>false</LinksUpToDate>
  <CharactersWithSpaces>37770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124</cp:revision>
  <cp:lastPrinted>2013-06-18T05:31:00Z</cp:lastPrinted>
  <dcterms:created xsi:type="dcterms:W3CDTF">2013-06-03T05:31:00Z</dcterms:created>
  <dcterms:modified xsi:type="dcterms:W3CDTF">2013-07-11T05:31:00Z</dcterms:modified>
</cp:coreProperties>
</file>