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80"/>
      </w:tblGrid>
      <w:tr w:rsidR="00AB2AE3" w:rsidRPr="00AB2AE3" w:rsidTr="00AB2AE3">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3319"/>
              <w:gridCol w:w="2641"/>
              <w:gridCol w:w="3004"/>
            </w:tblGrid>
            <w:tr w:rsidR="00AB2AE3" w:rsidRPr="00AB2AE3">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B2AE3" w:rsidRPr="00AB2AE3" w:rsidRDefault="001F5CF1" w:rsidP="00AB2AE3">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27</w:t>
                  </w:r>
                  <w:r w:rsidR="00AB2AE3">
                    <w:rPr>
                      <w:rFonts w:ascii="Arial" w:eastAsia="Times New Roman" w:hAnsi="Arial" w:cs="Arial"/>
                      <w:sz w:val="16"/>
                      <w:szCs w:val="16"/>
                      <w:lang w:eastAsia="tr-TR"/>
                    </w:rPr>
                    <w:t>.07.2013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B2AE3" w:rsidRPr="00AB2AE3" w:rsidRDefault="00AB2AE3" w:rsidP="00AB2AE3">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B2AE3" w:rsidRPr="00AB2AE3" w:rsidRDefault="00AB2AE3" w:rsidP="00AB2AE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B2AE3">
                    <w:rPr>
                      <w:rFonts w:ascii="Arial" w:eastAsia="Times New Roman" w:hAnsi="Arial" w:cs="Arial"/>
                      <w:sz w:val="16"/>
                      <w:szCs w:val="16"/>
                      <w:lang w:eastAsia="tr-TR"/>
                    </w:rPr>
                    <w:t>Sayı : 287</w:t>
                  </w:r>
                  <w:r w:rsidR="000F39D5">
                    <w:rPr>
                      <w:rFonts w:ascii="Arial" w:eastAsia="Times New Roman" w:hAnsi="Arial" w:cs="Arial"/>
                      <w:sz w:val="16"/>
                      <w:szCs w:val="16"/>
                      <w:lang w:eastAsia="tr-TR"/>
                    </w:rPr>
                    <w:t>20</w:t>
                  </w:r>
                  <w:proofErr w:type="gramEnd"/>
                </w:p>
              </w:tc>
            </w:tr>
            <w:tr w:rsidR="00AB2AE3" w:rsidRPr="00AB2AE3">
              <w:trPr>
                <w:trHeight w:val="480"/>
                <w:jc w:val="center"/>
              </w:trPr>
              <w:tc>
                <w:tcPr>
                  <w:tcW w:w="8789" w:type="dxa"/>
                  <w:gridSpan w:val="3"/>
                  <w:tcMar>
                    <w:top w:w="0" w:type="dxa"/>
                    <w:left w:w="108" w:type="dxa"/>
                    <w:bottom w:w="0" w:type="dxa"/>
                    <w:right w:w="108" w:type="dxa"/>
                  </w:tcMar>
                  <w:vAlign w:val="center"/>
                  <w:hideMark/>
                </w:tcPr>
                <w:p w:rsidR="00AB2AE3" w:rsidRPr="00AB2AE3" w:rsidRDefault="00AB2AE3" w:rsidP="00AB2AE3">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AB2AE3" w:rsidRPr="00AB2AE3">
              <w:trPr>
                <w:trHeight w:val="480"/>
                <w:jc w:val="center"/>
              </w:trPr>
              <w:tc>
                <w:tcPr>
                  <w:tcW w:w="8789" w:type="dxa"/>
                  <w:gridSpan w:val="3"/>
                  <w:tcMar>
                    <w:top w:w="0" w:type="dxa"/>
                    <w:left w:w="108" w:type="dxa"/>
                    <w:bottom w:w="0" w:type="dxa"/>
                    <w:right w:w="108" w:type="dxa"/>
                  </w:tcMar>
                  <w:vAlign w:val="center"/>
                  <w:hideMark/>
                </w:tcPr>
                <w:tbl>
                  <w:tblPr>
                    <w:tblW w:w="8789" w:type="dxa"/>
                    <w:tblCellMar>
                      <w:left w:w="0" w:type="dxa"/>
                      <w:right w:w="0" w:type="dxa"/>
                    </w:tblCellMar>
                    <w:tblLook w:val="04A0"/>
                  </w:tblPr>
                  <w:tblGrid>
                    <w:gridCol w:w="8748"/>
                  </w:tblGrid>
                  <w:tr w:rsidR="000F39D5" w:rsidRPr="000F39D5" w:rsidTr="000F39D5">
                    <w:trPr>
                      <w:trHeight w:val="480"/>
                    </w:trPr>
                    <w:tc>
                      <w:tcPr>
                        <w:tcW w:w="8789" w:type="dxa"/>
                        <w:tcMar>
                          <w:top w:w="0" w:type="dxa"/>
                          <w:left w:w="108" w:type="dxa"/>
                          <w:bottom w:w="0" w:type="dxa"/>
                          <w:right w:w="108" w:type="dxa"/>
                        </w:tcMar>
                        <w:vAlign w:val="center"/>
                        <w:hideMark/>
                      </w:tcPr>
                      <w:p w:rsidR="000F39D5" w:rsidRPr="000F39D5" w:rsidRDefault="000F39D5" w:rsidP="000F39D5">
                        <w:pPr>
                          <w:spacing w:before="100" w:beforeAutospacing="1" w:after="100" w:afterAutospacing="1" w:line="240" w:lineRule="auto"/>
                          <w:jc w:val="center"/>
                          <w:rPr>
                            <w:rFonts w:ascii="Arial Black" w:eastAsia="Times New Roman" w:hAnsi="Arial Black" w:cs="Times New Roman"/>
                            <w:sz w:val="24"/>
                            <w:szCs w:val="24"/>
                            <w:lang w:eastAsia="tr-TR"/>
                          </w:rPr>
                        </w:pPr>
                        <w:r w:rsidRPr="000F39D5">
                          <w:rPr>
                            <w:rFonts w:ascii="Arial Black" w:eastAsia="Times New Roman" w:hAnsi="Arial Black" w:cs="Arial"/>
                            <w:b/>
                            <w:bCs/>
                            <w:color w:val="000080"/>
                            <w:sz w:val="18"/>
                            <w:szCs w:val="18"/>
                            <w:lang w:eastAsia="tr-TR"/>
                          </w:rPr>
                          <w:t>YÖNETMELİK</w:t>
                        </w:r>
                      </w:p>
                    </w:tc>
                  </w:tr>
                  <w:tr w:rsidR="000F39D5" w:rsidRPr="000F39D5" w:rsidTr="000F39D5">
                    <w:trPr>
                      <w:trHeight w:val="480"/>
                    </w:trPr>
                    <w:tc>
                      <w:tcPr>
                        <w:tcW w:w="8789" w:type="dxa"/>
                        <w:tcMar>
                          <w:top w:w="0" w:type="dxa"/>
                          <w:left w:w="108" w:type="dxa"/>
                          <w:bottom w:w="0" w:type="dxa"/>
                          <w:right w:w="108" w:type="dxa"/>
                        </w:tcMar>
                        <w:vAlign w:val="center"/>
                        <w:hideMark/>
                      </w:tcPr>
                      <w:tbl>
                        <w:tblPr>
                          <w:tblW w:w="8789" w:type="dxa"/>
                          <w:tblCellMar>
                            <w:left w:w="0" w:type="dxa"/>
                            <w:right w:w="0" w:type="dxa"/>
                          </w:tblCellMar>
                          <w:tblLook w:val="04A0"/>
                        </w:tblPr>
                        <w:tblGrid>
                          <w:gridCol w:w="8789"/>
                        </w:tblGrid>
                        <w:tr w:rsidR="00DB7872" w:rsidRPr="00DB7872" w:rsidTr="00DB7872">
                          <w:trPr>
                            <w:trHeight w:val="480"/>
                          </w:trPr>
                          <w:tc>
                            <w:tcPr>
                              <w:tcW w:w="8789" w:type="dxa"/>
                              <w:tcMar>
                                <w:top w:w="0" w:type="dxa"/>
                                <w:left w:w="108" w:type="dxa"/>
                                <w:bottom w:w="0" w:type="dxa"/>
                                <w:right w:w="108" w:type="dxa"/>
                              </w:tcMar>
                              <w:vAlign w:val="center"/>
                              <w:hideMark/>
                            </w:tcPr>
                            <w:p w:rsidR="00DB7872" w:rsidRPr="00DB7872" w:rsidRDefault="00DB7872" w:rsidP="00DB7872">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DB7872" w:rsidRPr="00DB7872" w:rsidTr="00DB7872">
                          <w:trPr>
                            <w:trHeight w:val="480"/>
                          </w:trPr>
                          <w:tc>
                            <w:tcPr>
                              <w:tcW w:w="8789" w:type="dxa"/>
                              <w:tcMar>
                                <w:top w:w="0" w:type="dxa"/>
                                <w:left w:w="108" w:type="dxa"/>
                                <w:bottom w:w="0" w:type="dxa"/>
                                <w:right w:w="108" w:type="dxa"/>
                              </w:tcMar>
                              <w:vAlign w:val="center"/>
                              <w:hideMark/>
                            </w:tcPr>
                            <w:p w:rsidR="008642EC" w:rsidRDefault="008642EC" w:rsidP="008642EC">
                              <w:pPr>
                                <w:pStyle w:val="1-baslk"/>
                                <w:spacing w:line="240" w:lineRule="atLeast"/>
                                <w:ind w:firstLine="566"/>
                                <w:rPr>
                                  <w:color w:val="000000"/>
                                  <w:sz w:val="27"/>
                                  <w:szCs w:val="27"/>
                                </w:rPr>
                              </w:pPr>
                              <w:r>
                                <w:rPr>
                                  <w:color w:val="000000"/>
                                  <w:sz w:val="18"/>
                                  <w:szCs w:val="18"/>
                                </w:rPr>
                                <w:t>Ekonomi Bakanlığından:</w:t>
                              </w:r>
                            </w:p>
                            <w:p w:rsidR="008642EC" w:rsidRDefault="008642EC" w:rsidP="008642EC">
                              <w:pPr>
                                <w:pStyle w:val="2-ortabaslk"/>
                                <w:spacing w:line="240" w:lineRule="atLeast"/>
                                <w:rPr>
                                  <w:color w:val="000000"/>
                                  <w:sz w:val="27"/>
                                  <w:szCs w:val="27"/>
                                </w:rPr>
                              </w:pPr>
                              <w:r>
                                <w:rPr>
                                  <w:color w:val="000000"/>
                                  <w:sz w:val="18"/>
                                  <w:szCs w:val="18"/>
                                </w:rPr>
                                <w:t>PİYASA GÖZETİMİ VE DENETİMİ SONUÇ VE ÖNLEMLERİNİN</w:t>
                              </w:r>
                            </w:p>
                            <w:p w:rsidR="008642EC" w:rsidRDefault="008642EC" w:rsidP="008642EC">
                              <w:pPr>
                                <w:pStyle w:val="2-ortabaslk"/>
                                <w:spacing w:line="240" w:lineRule="atLeast"/>
                                <w:rPr>
                                  <w:color w:val="000000"/>
                                  <w:sz w:val="27"/>
                                  <w:szCs w:val="27"/>
                                </w:rPr>
                              </w:pPr>
                              <w:r>
                                <w:rPr>
                                  <w:color w:val="000000"/>
                                  <w:sz w:val="18"/>
                                  <w:szCs w:val="18"/>
                                </w:rPr>
                                <w:t>KAYDI VE BİLDİRİMİ YÖNETMELİĞİ</w:t>
                              </w:r>
                            </w:p>
                            <w:p w:rsidR="008642EC" w:rsidRDefault="008642EC" w:rsidP="008642EC">
                              <w:pPr>
                                <w:pStyle w:val="3-normalyaz"/>
                                <w:spacing w:line="240" w:lineRule="atLeast"/>
                                <w:ind w:firstLine="566"/>
                                <w:rPr>
                                  <w:color w:val="000000"/>
                                  <w:sz w:val="27"/>
                                  <w:szCs w:val="27"/>
                                </w:rPr>
                              </w:pPr>
                              <w:r>
                                <w:rPr>
                                  <w:b/>
                                  <w:bCs/>
                                  <w:color w:val="000000"/>
                                  <w:sz w:val="18"/>
                                  <w:szCs w:val="18"/>
                                </w:rPr>
                                <w:t>Amaç ve kapsam</w:t>
                              </w:r>
                            </w:p>
                            <w:p w:rsidR="008642EC" w:rsidRDefault="008642EC" w:rsidP="008642EC">
                              <w:pPr>
                                <w:pStyle w:val="3-normalyaz"/>
                                <w:spacing w:line="240" w:lineRule="atLeast"/>
                                <w:ind w:firstLine="566"/>
                                <w:rPr>
                                  <w:color w:val="000000"/>
                                  <w:sz w:val="27"/>
                                  <w:szCs w:val="27"/>
                                </w:rPr>
                              </w:pPr>
                              <w:r>
                                <w:rPr>
                                  <w:b/>
                                  <w:bCs/>
                                  <w:color w:val="000000"/>
                                  <w:sz w:val="18"/>
                                  <w:szCs w:val="18"/>
                                </w:rPr>
                                <w:t>MADDE 1 –</w:t>
                              </w:r>
                              <w:r>
                                <w:rPr>
                                  <w:rStyle w:val="apple-converted-space"/>
                                  <w:color w:val="000000"/>
                                  <w:sz w:val="18"/>
                                  <w:szCs w:val="18"/>
                                </w:rPr>
                                <w:t> </w:t>
                              </w:r>
                              <w:r>
                                <w:rPr>
                                  <w:color w:val="000000"/>
                                  <w:sz w:val="18"/>
                                  <w:szCs w:val="18"/>
                                </w:rPr>
                                <w:t>(1) Bu Yönetmeliğin amacı, piyasa gözetimi ve denetimi ile ithalat denetimleri arasında bilgi akışını sağlamak ve yetkili kuruluşlar tarafından gerçekleştirilen piyasa gözetimi ve denetimi faaliyetlerinde kayıt altına alınması gereken bilgilerin; içeriği, kayıt işlemleri ve bildiriminin usul ve esaslarını düzenlemektir.</w:t>
                              </w:r>
                            </w:p>
                            <w:p w:rsidR="008642EC" w:rsidRDefault="008642EC" w:rsidP="008642EC">
                              <w:pPr>
                                <w:pStyle w:val="3-normalyaz"/>
                                <w:spacing w:line="240" w:lineRule="atLeast"/>
                                <w:ind w:firstLine="566"/>
                                <w:rPr>
                                  <w:color w:val="000000"/>
                                  <w:sz w:val="27"/>
                                  <w:szCs w:val="27"/>
                                </w:rPr>
                              </w:pPr>
                              <w:r>
                                <w:rPr>
                                  <w:b/>
                                  <w:bCs/>
                                  <w:color w:val="000000"/>
                                  <w:sz w:val="18"/>
                                  <w:szCs w:val="18"/>
                                </w:rPr>
                                <w:t>Dayanak</w:t>
                              </w:r>
                            </w:p>
                            <w:p w:rsidR="008642EC" w:rsidRDefault="008642EC" w:rsidP="008642EC">
                              <w:pPr>
                                <w:pStyle w:val="3-normalyaz"/>
                                <w:spacing w:line="240" w:lineRule="atLeast"/>
                                <w:ind w:firstLine="566"/>
                                <w:rPr>
                                  <w:color w:val="000000"/>
                                  <w:sz w:val="27"/>
                                  <w:szCs w:val="27"/>
                                </w:rPr>
                              </w:pPr>
                              <w:r>
                                <w:rPr>
                                  <w:b/>
                                  <w:bCs/>
                                  <w:color w:val="000000"/>
                                  <w:sz w:val="18"/>
                                  <w:szCs w:val="18"/>
                                </w:rPr>
                                <w:t>MADDE 2 –</w:t>
                              </w:r>
                              <w:r>
                                <w:rPr>
                                  <w:rStyle w:val="apple-converted-space"/>
                                  <w:color w:val="000000"/>
                                  <w:sz w:val="18"/>
                                  <w:szCs w:val="18"/>
                                </w:rPr>
                                <w:t> </w:t>
                              </w:r>
                              <w:r>
                                <w:rPr>
                                  <w:color w:val="000000"/>
                                  <w:sz w:val="18"/>
                                  <w:szCs w:val="18"/>
                                </w:rPr>
                                <w:t>(1) Bu Yönetmelik,</w:t>
                              </w:r>
                              <w:r>
                                <w:rPr>
                                  <w:rStyle w:val="apple-converted-space"/>
                                  <w:color w:val="000000"/>
                                  <w:sz w:val="18"/>
                                  <w:szCs w:val="18"/>
                                </w:rPr>
                                <w:t> </w:t>
                              </w:r>
                              <w:proofErr w:type="gramStart"/>
                              <w:r>
                                <w:rPr>
                                  <w:rStyle w:val="grame"/>
                                  <w:color w:val="000000"/>
                                  <w:sz w:val="18"/>
                                  <w:szCs w:val="18"/>
                                </w:rPr>
                                <w:t>29/6/2001</w:t>
                              </w:r>
                              <w:proofErr w:type="gramEnd"/>
                              <w:r>
                                <w:rPr>
                                  <w:rStyle w:val="apple-converted-space"/>
                                  <w:color w:val="000000"/>
                                  <w:sz w:val="18"/>
                                  <w:szCs w:val="18"/>
                                </w:rPr>
                                <w:t> </w:t>
                              </w:r>
                              <w:r>
                                <w:rPr>
                                  <w:color w:val="000000"/>
                                  <w:sz w:val="18"/>
                                  <w:szCs w:val="18"/>
                                </w:rPr>
                                <w:t>tarihli ve 4703 sayılı Ürünlere İlişkin Teknik Mevzuatın Hazırlanması ve Uygulanmasına Dair Kanunun 14 üncü maddesi ve 28/1/2013 tarihli ve 2013/4284 sayılı Bakanlar Kurulu Kararı ile yürürlüğe konulan “Teknik Düzenlemeler Rejimi Kararı”nın 4 üncü maddesinin birinci fıkrasının (f) bendi ile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maddesi uyarınca hazırlanmıştır.</w:t>
                              </w:r>
                            </w:p>
                            <w:p w:rsidR="008642EC" w:rsidRDefault="008642EC" w:rsidP="008642EC">
                              <w:pPr>
                                <w:pStyle w:val="3-normalyaz"/>
                                <w:spacing w:line="240" w:lineRule="atLeast"/>
                                <w:ind w:firstLine="566"/>
                                <w:rPr>
                                  <w:color w:val="000000"/>
                                  <w:sz w:val="27"/>
                                  <w:szCs w:val="27"/>
                                </w:rPr>
                              </w:pPr>
                              <w:r>
                                <w:rPr>
                                  <w:b/>
                                  <w:bCs/>
                                  <w:color w:val="000000"/>
                                  <w:sz w:val="18"/>
                                  <w:szCs w:val="18"/>
                                </w:rPr>
                                <w:t>Tanımlar</w:t>
                              </w:r>
                            </w:p>
                            <w:p w:rsidR="008642EC" w:rsidRDefault="008642EC" w:rsidP="008642EC">
                              <w:pPr>
                                <w:pStyle w:val="3-normalyaz"/>
                                <w:spacing w:line="240" w:lineRule="atLeast"/>
                                <w:ind w:firstLine="566"/>
                                <w:rPr>
                                  <w:color w:val="000000"/>
                                  <w:sz w:val="27"/>
                                  <w:szCs w:val="27"/>
                                </w:rPr>
                              </w:pPr>
                              <w:r>
                                <w:rPr>
                                  <w:b/>
                                  <w:bCs/>
                                  <w:color w:val="000000"/>
                                  <w:sz w:val="18"/>
                                  <w:szCs w:val="18"/>
                                </w:rPr>
                                <w:t>MADDE 3 –</w:t>
                              </w:r>
                              <w:r>
                                <w:rPr>
                                  <w:rStyle w:val="apple-converted-space"/>
                                  <w:b/>
                                  <w:bCs/>
                                  <w:color w:val="000000"/>
                                  <w:sz w:val="18"/>
                                  <w:szCs w:val="18"/>
                                </w:rPr>
                                <w:t> </w:t>
                              </w:r>
                              <w:r>
                                <w:rPr>
                                  <w:color w:val="000000"/>
                                  <w:sz w:val="18"/>
                                  <w:szCs w:val="18"/>
                                </w:rPr>
                                <w:t>(1) Bu Yönetmeliğin uygulanmasında;</w:t>
                              </w:r>
                            </w:p>
                            <w:p w:rsidR="008642EC" w:rsidRDefault="008642EC" w:rsidP="008642EC">
                              <w:pPr>
                                <w:pStyle w:val="3-normalyaz"/>
                                <w:spacing w:line="240" w:lineRule="atLeast"/>
                                <w:ind w:firstLine="566"/>
                                <w:rPr>
                                  <w:color w:val="000000"/>
                                  <w:sz w:val="27"/>
                                  <w:szCs w:val="27"/>
                                </w:rPr>
                              </w:pPr>
                              <w:r>
                                <w:rPr>
                                  <w:color w:val="000000"/>
                                  <w:sz w:val="18"/>
                                  <w:szCs w:val="18"/>
                                </w:rPr>
                                <w:t>a) Bakanlık: Ekonomi Bakanlığını,</w:t>
                              </w:r>
                            </w:p>
                            <w:p w:rsidR="008642EC" w:rsidRDefault="008642EC" w:rsidP="008642EC">
                              <w:pPr>
                                <w:pStyle w:val="3-normalyaz"/>
                                <w:spacing w:line="240" w:lineRule="atLeast"/>
                                <w:ind w:firstLine="566"/>
                                <w:rPr>
                                  <w:color w:val="000000"/>
                                  <w:sz w:val="27"/>
                                  <w:szCs w:val="27"/>
                                </w:rPr>
                              </w:pPr>
                              <w:r>
                                <w:rPr>
                                  <w:color w:val="000000"/>
                                  <w:sz w:val="18"/>
                                  <w:szCs w:val="18"/>
                                </w:rPr>
                                <w:t>b) Genel Müdürlük: Ürün Güvenliği ve Denetimi Genel Müdürlüğünü,</w:t>
                              </w:r>
                            </w:p>
                            <w:p w:rsidR="008642EC" w:rsidRDefault="008642EC" w:rsidP="008642EC">
                              <w:pPr>
                                <w:pStyle w:val="3-normalyaz"/>
                                <w:spacing w:line="240" w:lineRule="atLeast"/>
                                <w:ind w:firstLine="566"/>
                                <w:rPr>
                                  <w:color w:val="000000"/>
                                  <w:sz w:val="27"/>
                                  <w:szCs w:val="27"/>
                                </w:rPr>
                              </w:pPr>
                              <w:r>
                                <w:rPr>
                                  <w:color w:val="000000"/>
                                  <w:sz w:val="18"/>
                                  <w:szCs w:val="18"/>
                                </w:rPr>
                                <w:t>c) PGDBİS: Ulusal Piyasa Gözetimi ve Denetimi Bilgi Sistemini,</w:t>
                              </w:r>
                            </w:p>
                            <w:p w:rsidR="008642EC" w:rsidRDefault="008642EC" w:rsidP="008642EC">
                              <w:pPr>
                                <w:pStyle w:val="3-normalyaz"/>
                                <w:spacing w:line="240" w:lineRule="atLeast"/>
                                <w:ind w:firstLine="566"/>
                                <w:rPr>
                                  <w:color w:val="000000"/>
                                  <w:sz w:val="27"/>
                                  <w:szCs w:val="27"/>
                                </w:rPr>
                              </w:pPr>
                              <w:r>
                                <w:rPr>
                                  <w:color w:val="000000"/>
                                  <w:sz w:val="18"/>
                                  <w:szCs w:val="18"/>
                                </w:rPr>
                                <w:t>ç) Risk değerlendirmesi: Bir üründeki riskin derecesinin belirli bir</w:t>
                              </w:r>
                              <w:r>
                                <w:rPr>
                                  <w:rStyle w:val="apple-converted-space"/>
                                  <w:color w:val="000000"/>
                                  <w:sz w:val="18"/>
                                  <w:szCs w:val="18"/>
                                </w:rPr>
                                <w:t> </w:t>
                              </w:r>
                              <w:proofErr w:type="gramStart"/>
                              <w:r>
                                <w:rPr>
                                  <w:rStyle w:val="grame"/>
                                  <w:color w:val="000000"/>
                                  <w:sz w:val="18"/>
                                  <w:szCs w:val="18"/>
                                </w:rPr>
                                <w:t>metodoloji</w:t>
                              </w:r>
                              <w:proofErr w:type="gramEnd"/>
                              <w:r>
                                <w:rPr>
                                  <w:rStyle w:val="apple-converted-space"/>
                                  <w:color w:val="000000"/>
                                  <w:sz w:val="18"/>
                                  <w:szCs w:val="18"/>
                                </w:rPr>
                                <w:t> </w:t>
                              </w:r>
                              <w:r>
                                <w:rPr>
                                  <w:color w:val="000000"/>
                                  <w:sz w:val="18"/>
                                  <w:szCs w:val="18"/>
                                </w:rPr>
                                <w:t>kullanılarak belirlenmesi faaliyetini,</w:t>
                              </w:r>
                            </w:p>
                            <w:p w:rsidR="008642EC" w:rsidRDefault="008642EC" w:rsidP="008642EC">
                              <w:pPr>
                                <w:pStyle w:val="3-normalyaz"/>
                                <w:spacing w:line="240" w:lineRule="atLeast"/>
                                <w:ind w:firstLine="566"/>
                                <w:rPr>
                                  <w:color w:val="000000"/>
                                  <w:sz w:val="27"/>
                                  <w:szCs w:val="27"/>
                                </w:rPr>
                              </w:pPr>
                              <w:proofErr w:type="gramStart"/>
                              <w:r>
                                <w:rPr>
                                  <w:rStyle w:val="grame"/>
                                  <w:color w:val="000000"/>
                                  <w:sz w:val="18"/>
                                  <w:szCs w:val="18"/>
                                </w:rPr>
                                <w:t>ifade</w:t>
                              </w:r>
                              <w:proofErr w:type="gramEnd"/>
                              <w:r>
                                <w:rPr>
                                  <w:rStyle w:val="apple-converted-space"/>
                                  <w:color w:val="000000"/>
                                  <w:sz w:val="18"/>
                                  <w:szCs w:val="18"/>
                                </w:rPr>
                                <w:t> </w:t>
                              </w:r>
                              <w:r>
                                <w:rPr>
                                  <w:color w:val="000000"/>
                                  <w:sz w:val="18"/>
                                  <w:szCs w:val="18"/>
                                </w:rPr>
                                <w:t>eder.</w:t>
                              </w:r>
                            </w:p>
                            <w:p w:rsidR="008642EC" w:rsidRDefault="008642EC" w:rsidP="008642EC">
                              <w:pPr>
                                <w:pStyle w:val="3-normalyaz"/>
                                <w:spacing w:line="240" w:lineRule="atLeast"/>
                                <w:ind w:firstLine="566"/>
                                <w:rPr>
                                  <w:color w:val="000000"/>
                                  <w:sz w:val="27"/>
                                  <w:szCs w:val="27"/>
                                </w:rPr>
                              </w:pPr>
                              <w:r>
                                <w:rPr>
                                  <w:b/>
                                  <w:bCs/>
                                  <w:color w:val="000000"/>
                                  <w:sz w:val="18"/>
                                  <w:szCs w:val="18"/>
                                </w:rPr>
                                <w:t>Denetim kayıtlarının tutulması</w:t>
                              </w:r>
                            </w:p>
                            <w:p w:rsidR="008642EC" w:rsidRDefault="008642EC" w:rsidP="008642EC">
                              <w:pPr>
                                <w:pStyle w:val="3-normalyaz"/>
                                <w:spacing w:line="240" w:lineRule="atLeast"/>
                                <w:ind w:firstLine="566"/>
                                <w:rPr>
                                  <w:color w:val="000000"/>
                                  <w:sz w:val="27"/>
                                  <w:szCs w:val="27"/>
                                </w:rPr>
                              </w:pPr>
                              <w:r>
                                <w:rPr>
                                  <w:b/>
                                  <w:bCs/>
                                  <w:color w:val="000000"/>
                                  <w:sz w:val="18"/>
                                  <w:szCs w:val="18"/>
                                </w:rPr>
                                <w:t>MADDE 4 –</w:t>
                              </w:r>
                              <w:r>
                                <w:rPr>
                                  <w:rStyle w:val="apple-converted-space"/>
                                  <w:color w:val="000000"/>
                                  <w:sz w:val="18"/>
                                  <w:szCs w:val="18"/>
                                </w:rPr>
                                <w:t> </w:t>
                              </w:r>
                              <w:r>
                                <w:rPr>
                                  <w:color w:val="000000"/>
                                  <w:sz w:val="18"/>
                                  <w:szCs w:val="18"/>
                                </w:rPr>
                                <w:t>(1) Piyasa gözetimi ve denetimi esnasında kullanılacak tutanakların içeriği ve formatı, uyguladıkları teknik mevzuatın gerektirdiği zorunluluk ve ihtiyaçlar ile Genel Müdürlük tarafından raporlama ve alınan önlemlerin bildirimi konusunda talep edilen bilgiler dikkate alınarak yetkili kuruluşlarca belirlenir.</w:t>
                              </w:r>
                            </w:p>
                            <w:p w:rsidR="008642EC" w:rsidRDefault="008642EC" w:rsidP="008642EC">
                              <w:pPr>
                                <w:pStyle w:val="3-normalyaz"/>
                                <w:spacing w:line="240" w:lineRule="atLeast"/>
                                <w:ind w:firstLine="566"/>
                                <w:rPr>
                                  <w:color w:val="000000"/>
                                  <w:sz w:val="27"/>
                                  <w:szCs w:val="27"/>
                                </w:rPr>
                              </w:pPr>
                              <w:r>
                                <w:rPr>
                                  <w:b/>
                                  <w:bCs/>
                                  <w:color w:val="000000"/>
                                  <w:sz w:val="18"/>
                                  <w:szCs w:val="18"/>
                                </w:rPr>
                                <w:t>Ulusal Piyasa Gözetimi ve Denetimi Bilgi Sistemi</w:t>
                              </w:r>
                            </w:p>
                            <w:p w:rsidR="008642EC" w:rsidRDefault="008642EC" w:rsidP="008642EC">
                              <w:pPr>
                                <w:pStyle w:val="3-normalyaz"/>
                                <w:spacing w:line="240" w:lineRule="atLeast"/>
                                <w:ind w:firstLine="566"/>
                                <w:rPr>
                                  <w:color w:val="000000"/>
                                  <w:sz w:val="27"/>
                                  <w:szCs w:val="27"/>
                                </w:rPr>
                              </w:pPr>
                              <w:r>
                                <w:rPr>
                                  <w:b/>
                                  <w:bCs/>
                                  <w:color w:val="000000"/>
                                  <w:sz w:val="18"/>
                                  <w:szCs w:val="18"/>
                                </w:rPr>
                                <w:t>MADDE 5 –</w:t>
                              </w:r>
                              <w:r>
                                <w:rPr>
                                  <w:rStyle w:val="apple-converted-space"/>
                                  <w:color w:val="000000"/>
                                  <w:sz w:val="18"/>
                                  <w:szCs w:val="18"/>
                                </w:rPr>
                                <w:t> </w:t>
                              </w:r>
                              <w:r>
                                <w:rPr>
                                  <w:color w:val="000000"/>
                                  <w:sz w:val="18"/>
                                  <w:szCs w:val="18"/>
                                </w:rPr>
                                <w:t>(1) Bu Yönetmelik kapsamında yetkili kuruluşlar tarafından Bakanlığa iletilecek bilgilerle ilgili işlemler Bakanlık tarafından kurulan ve işletilen Ulusal Piyasa Gözetimi ve Denetimi Bilgi Sistemi üzerinden gerçekleştirilir.</w:t>
                              </w:r>
                            </w:p>
                            <w:p w:rsidR="008642EC" w:rsidRDefault="008642EC" w:rsidP="008642EC">
                              <w:pPr>
                                <w:pStyle w:val="3-normalyaz"/>
                                <w:spacing w:line="240" w:lineRule="atLeast"/>
                                <w:ind w:firstLine="566"/>
                                <w:rPr>
                                  <w:color w:val="000000"/>
                                  <w:sz w:val="27"/>
                                  <w:szCs w:val="27"/>
                                </w:rPr>
                              </w:pPr>
                              <w:r>
                                <w:rPr>
                                  <w:b/>
                                  <w:bCs/>
                                  <w:color w:val="000000"/>
                                  <w:sz w:val="18"/>
                                  <w:szCs w:val="18"/>
                                </w:rPr>
                                <w:lastRenderedPageBreak/>
                                <w:t>Denetim raporlarının hazırlanması</w:t>
                              </w:r>
                            </w:p>
                            <w:p w:rsidR="008642EC" w:rsidRDefault="008642EC" w:rsidP="008642EC">
                              <w:pPr>
                                <w:pStyle w:val="3-normalyaz"/>
                                <w:spacing w:line="240" w:lineRule="atLeast"/>
                                <w:ind w:firstLine="566"/>
                                <w:rPr>
                                  <w:color w:val="000000"/>
                                  <w:sz w:val="27"/>
                                  <w:szCs w:val="27"/>
                                </w:rPr>
                              </w:pPr>
                              <w:r>
                                <w:rPr>
                                  <w:b/>
                                  <w:bCs/>
                                  <w:color w:val="000000"/>
                                  <w:sz w:val="18"/>
                                  <w:szCs w:val="18"/>
                                </w:rPr>
                                <w:t>MADDE 6 –</w:t>
                              </w:r>
                              <w:r>
                                <w:rPr>
                                  <w:rStyle w:val="apple-converted-space"/>
                                  <w:b/>
                                  <w:bCs/>
                                  <w:color w:val="000000"/>
                                  <w:sz w:val="18"/>
                                  <w:szCs w:val="18"/>
                                </w:rPr>
                                <w:t> </w:t>
                              </w:r>
                              <w:r>
                                <w:rPr>
                                  <w:color w:val="000000"/>
                                  <w:sz w:val="18"/>
                                  <w:szCs w:val="18"/>
                                </w:rPr>
                                <w:t>(1) Piyasa gözetimi ve denetimi esnasında temin edilen bilgilerin Genel Müdürlükçe raporlama ihtiyaçları doğrultusunda belirlenen kısmı piyasa gözetimi ve denetimini gerçekleştiren yetkili kuruluşlarca</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üçer aylık dönemler halinde ve yıllık olarak kaydedilir. Bu verilere ilişkin güncelleme işlemleri yine yetkili kuruluşlar tarafından gerçekleştirilir.</w:t>
                              </w:r>
                            </w:p>
                            <w:p w:rsidR="008642EC" w:rsidRDefault="008642EC" w:rsidP="008642EC">
                              <w:pPr>
                                <w:pStyle w:val="3-normalyaz"/>
                                <w:spacing w:line="240" w:lineRule="atLeast"/>
                                <w:ind w:firstLine="566"/>
                                <w:rPr>
                                  <w:color w:val="000000"/>
                                  <w:sz w:val="27"/>
                                  <w:szCs w:val="27"/>
                                </w:rPr>
                              </w:pPr>
                              <w:r>
                                <w:rPr>
                                  <w:color w:val="000000"/>
                                  <w:sz w:val="18"/>
                                  <w:szCs w:val="18"/>
                                </w:rPr>
                                <w:t>(2) Yetkili kuruluşlar, “Piyasa Gözetimi ve Denetimi Raporu Hazırlama Rehberi”ne uygun olacak şekilde bu bilgileri</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kaydeder. Rehber Genel Müdürlükçe yetkili kuruluşlara en geç her yılın Aralık ayı sonuna kadar iletilir.</w:t>
                              </w:r>
                            </w:p>
                            <w:p w:rsidR="008642EC" w:rsidRDefault="008642EC" w:rsidP="008642EC">
                              <w:pPr>
                                <w:pStyle w:val="3-normalyaz"/>
                                <w:spacing w:line="240" w:lineRule="atLeast"/>
                                <w:ind w:firstLine="566"/>
                                <w:rPr>
                                  <w:color w:val="000000"/>
                                  <w:sz w:val="27"/>
                                  <w:szCs w:val="27"/>
                                </w:rPr>
                              </w:pPr>
                              <w:r>
                                <w:rPr>
                                  <w:b/>
                                  <w:bCs/>
                                  <w:color w:val="000000"/>
                                  <w:sz w:val="18"/>
                                  <w:szCs w:val="18"/>
                                </w:rPr>
                                <w:t>Alınan önlemlerin bildirimi</w:t>
                              </w:r>
                            </w:p>
                            <w:p w:rsidR="008642EC" w:rsidRDefault="008642EC" w:rsidP="008642EC">
                              <w:pPr>
                                <w:pStyle w:val="3-normalyaz"/>
                                <w:spacing w:line="240" w:lineRule="atLeast"/>
                                <w:ind w:firstLine="566"/>
                                <w:rPr>
                                  <w:color w:val="000000"/>
                                  <w:sz w:val="27"/>
                                  <w:szCs w:val="27"/>
                                </w:rPr>
                              </w:pPr>
                              <w:r>
                                <w:rPr>
                                  <w:b/>
                                  <w:bCs/>
                                  <w:color w:val="000000"/>
                                  <w:sz w:val="18"/>
                                  <w:szCs w:val="18"/>
                                </w:rPr>
                                <w:t>MADDE 7 –</w:t>
                              </w:r>
                              <w:r>
                                <w:rPr>
                                  <w:rStyle w:val="apple-converted-space"/>
                                  <w:b/>
                                  <w:bCs/>
                                  <w:color w:val="000000"/>
                                  <w:sz w:val="18"/>
                                  <w:szCs w:val="18"/>
                                </w:rPr>
                                <w:t> </w:t>
                              </w:r>
                              <w:r>
                                <w:rPr>
                                  <w:color w:val="000000"/>
                                  <w:sz w:val="18"/>
                                  <w:szCs w:val="18"/>
                                </w:rPr>
                                <w:t>(1) Güvensizliği tespit edilen ürünlere ilişkin bilgiler, alınacak önlemin yetkili kuruluşların iç onay süreci ile kesinleşmesini takip eden yedi iş günü içinde yetkili kuruluşlarca</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kaydedilir.</w:t>
                              </w:r>
                            </w:p>
                            <w:p w:rsidR="008642EC" w:rsidRDefault="008642EC" w:rsidP="008642EC">
                              <w:pPr>
                                <w:pStyle w:val="3-normalyaz"/>
                                <w:spacing w:line="240" w:lineRule="atLeast"/>
                                <w:ind w:firstLine="566"/>
                                <w:rPr>
                                  <w:color w:val="000000"/>
                                  <w:sz w:val="27"/>
                                  <w:szCs w:val="27"/>
                                </w:rPr>
                              </w:pPr>
                              <w:r>
                                <w:rPr>
                                  <w:color w:val="000000"/>
                                  <w:sz w:val="18"/>
                                  <w:szCs w:val="18"/>
                                </w:rPr>
                                <w:t>(2) Güvensizliği tespit edilen ürünlere ilişkin bilgiler gerektiğinde Genel Müdürlük tarafından Avrupa Komisyonuna bildirilir.</w:t>
                              </w:r>
                            </w:p>
                            <w:p w:rsidR="008642EC" w:rsidRDefault="008642EC" w:rsidP="008642EC">
                              <w:pPr>
                                <w:pStyle w:val="3-normalyaz"/>
                                <w:spacing w:line="240" w:lineRule="atLeast"/>
                                <w:ind w:firstLine="566"/>
                                <w:rPr>
                                  <w:color w:val="000000"/>
                                  <w:sz w:val="27"/>
                                  <w:szCs w:val="27"/>
                                </w:rPr>
                              </w:pPr>
                              <w:r>
                                <w:rPr>
                                  <w:color w:val="000000"/>
                                  <w:sz w:val="18"/>
                                  <w:szCs w:val="18"/>
                                </w:rPr>
                                <w:t>(3) Güvenli olmakla birlikte, teknik düzenlemesine uygun olmadığı tespit edilen ve düzeltici faaliyet ile uygunsuzluğu giderilemeyen ürünlere ilişkin bilgiler de</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kaydedilir.</w:t>
                              </w:r>
                            </w:p>
                            <w:p w:rsidR="008642EC" w:rsidRDefault="008642EC" w:rsidP="008642EC">
                              <w:pPr>
                                <w:pStyle w:val="3-normalyaz"/>
                                <w:spacing w:line="240" w:lineRule="atLeast"/>
                                <w:ind w:firstLine="566"/>
                                <w:rPr>
                                  <w:color w:val="000000"/>
                                  <w:sz w:val="27"/>
                                  <w:szCs w:val="27"/>
                                </w:rPr>
                              </w:pPr>
                              <w:r>
                                <w:rPr>
                                  <w:color w:val="000000"/>
                                  <w:sz w:val="18"/>
                                  <w:szCs w:val="18"/>
                                </w:rPr>
                                <w:t>(4) Gıda ürünleri, yemler, ilaçlar, tütün, tütün mamulleri, alkollü içecekler ile akaryakıt ürünleri bu madde kapsamında bildirime tabi değildir.</w:t>
                              </w:r>
                            </w:p>
                            <w:p w:rsidR="008642EC" w:rsidRDefault="008642EC" w:rsidP="008642EC">
                              <w:pPr>
                                <w:pStyle w:val="3-normalyaz"/>
                                <w:spacing w:line="240" w:lineRule="atLeast"/>
                                <w:ind w:firstLine="566"/>
                                <w:rPr>
                                  <w:color w:val="000000"/>
                                  <w:sz w:val="27"/>
                                  <w:szCs w:val="27"/>
                                </w:rPr>
                              </w:pPr>
                              <w:r>
                                <w:rPr>
                                  <w:color w:val="000000"/>
                                  <w:sz w:val="18"/>
                                  <w:szCs w:val="18"/>
                                </w:rPr>
                                <w:t>(5) Yapılan bildirimlere ilişkin güncelleme işlemleri yine yetkili kuruluşlar tarafından gerçekleştirilir.</w:t>
                              </w:r>
                            </w:p>
                            <w:p w:rsidR="008642EC" w:rsidRDefault="008642EC" w:rsidP="008642EC">
                              <w:pPr>
                                <w:pStyle w:val="3-normalyaz"/>
                                <w:spacing w:line="240" w:lineRule="atLeast"/>
                                <w:ind w:firstLine="566"/>
                                <w:rPr>
                                  <w:color w:val="000000"/>
                                  <w:sz w:val="27"/>
                                  <w:szCs w:val="27"/>
                                </w:rPr>
                              </w:pPr>
                              <w:r>
                                <w:rPr>
                                  <w:color w:val="000000"/>
                                  <w:sz w:val="18"/>
                                  <w:szCs w:val="18"/>
                                </w:rPr>
                                <w:t>(6) Bakanlıkça yapılan veya Bakanlıkça kayıt altına alınan ithalat denetimlerine ilişkin verilerden Bakanlıkça uygun bulunanlar da,</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kaydedilir.</w:t>
                              </w:r>
                            </w:p>
                            <w:p w:rsidR="008642EC" w:rsidRDefault="008642EC" w:rsidP="008642EC">
                              <w:pPr>
                                <w:pStyle w:val="3-normalyaz"/>
                                <w:spacing w:line="240" w:lineRule="atLeast"/>
                                <w:ind w:firstLine="566"/>
                                <w:rPr>
                                  <w:color w:val="000000"/>
                                  <w:sz w:val="27"/>
                                  <w:szCs w:val="27"/>
                                </w:rPr>
                              </w:pPr>
                              <w:r>
                                <w:rPr>
                                  <w:b/>
                                  <w:bCs/>
                                  <w:color w:val="000000"/>
                                  <w:sz w:val="18"/>
                                  <w:szCs w:val="18"/>
                                </w:rPr>
                                <w:t>Test raporları ve diğer belgelerin paylaşımı</w:t>
                              </w:r>
                            </w:p>
                            <w:p w:rsidR="008642EC" w:rsidRDefault="008642EC" w:rsidP="008642EC">
                              <w:pPr>
                                <w:pStyle w:val="3-normalyaz"/>
                                <w:spacing w:line="240" w:lineRule="atLeast"/>
                                <w:ind w:firstLine="566"/>
                                <w:rPr>
                                  <w:color w:val="000000"/>
                                  <w:sz w:val="27"/>
                                  <w:szCs w:val="27"/>
                                </w:rPr>
                              </w:pPr>
                              <w:r>
                                <w:rPr>
                                  <w:b/>
                                  <w:bCs/>
                                  <w:color w:val="000000"/>
                                  <w:sz w:val="18"/>
                                  <w:szCs w:val="18"/>
                                </w:rPr>
                                <w:t>MADDE 8 –</w:t>
                              </w:r>
                              <w:r>
                                <w:rPr>
                                  <w:rStyle w:val="apple-converted-space"/>
                                  <w:color w:val="000000"/>
                                  <w:sz w:val="18"/>
                                  <w:szCs w:val="18"/>
                                </w:rPr>
                                <w:t> </w:t>
                              </w:r>
                              <w:r>
                                <w:rPr>
                                  <w:color w:val="000000"/>
                                  <w:sz w:val="18"/>
                                  <w:szCs w:val="18"/>
                                </w:rPr>
                                <w:t>(1) Yetkili kuruluşlar,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maddenin birinci ve üçüncü fıkrasında belirtilen ürünlere dair varsa test raporlarını ve ilgili olabilecek diğer belgeleri</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yükler.</w:t>
                              </w:r>
                            </w:p>
                            <w:p w:rsidR="008642EC" w:rsidRDefault="008642EC" w:rsidP="008642EC">
                              <w:pPr>
                                <w:pStyle w:val="3-normalyaz"/>
                                <w:spacing w:line="240" w:lineRule="atLeast"/>
                                <w:ind w:firstLine="566"/>
                                <w:rPr>
                                  <w:color w:val="000000"/>
                                  <w:sz w:val="27"/>
                                  <w:szCs w:val="27"/>
                                </w:rPr>
                              </w:pPr>
                              <w:r>
                                <w:rPr>
                                  <w:color w:val="000000"/>
                                  <w:sz w:val="18"/>
                                  <w:szCs w:val="18"/>
                                </w:rPr>
                                <w:t>(2)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maddenin dördüncü fıkrasında belirtilen ürünlere dair test raporları ve diğer belgeler bu madde kapsamında paylaşıma tabi değildir.</w:t>
                              </w:r>
                            </w:p>
                            <w:p w:rsidR="008642EC" w:rsidRDefault="008642EC" w:rsidP="008642EC">
                              <w:pPr>
                                <w:pStyle w:val="3-normalyaz"/>
                                <w:spacing w:line="240" w:lineRule="atLeast"/>
                                <w:ind w:firstLine="566"/>
                                <w:rPr>
                                  <w:color w:val="000000"/>
                                  <w:sz w:val="27"/>
                                  <w:szCs w:val="27"/>
                                </w:rPr>
                              </w:pPr>
                              <w:r>
                                <w:rPr>
                                  <w:b/>
                                  <w:bCs/>
                                  <w:color w:val="000000"/>
                                  <w:sz w:val="18"/>
                                  <w:szCs w:val="18"/>
                                </w:rPr>
                                <w:t>Önlem bildirimleri temas noktaları</w:t>
                              </w:r>
                            </w:p>
                            <w:p w:rsidR="008642EC" w:rsidRDefault="008642EC" w:rsidP="008642EC">
                              <w:pPr>
                                <w:pStyle w:val="3-normalyaz"/>
                                <w:spacing w:line="240" w:lineRule="atLeast"/>
                                <w:ind w:firstLine="566"/>
                                <w:rPr>
                                  <w:color w:val="000000"/>
                                  <w:sz w:val="27"/>
                                  <w:szCs w:val="27"/>
                                </w:rPr>
                              </w:pPr>
                              <w:r>
                                <w:rPr>
                                  <w:b/>
                                  <w:bCs/>
                                  <w:color w:val="000000"/>
                                  <w:sz w:val="18"/>
                                  <w:szCs w:val="18"/>
                                </w:rPr>
                                <w:t>MADDE 9 –</w:t>
                              </w:r>
                              <w:r>
                                <w:rPr>
                                  <w:rStyle w:val="apple-converted-space"/>
                                  <w:color w:val="000000"/>
                                  <w:sz w:val="18"/>
                                  <w:szCs w:val="18"/>
                                </w:rPr>
                                <w:t> </w:t>
                              </w:r>
                              <w:r>
                                <w:rPr>
                                  <w:color w:val="000000"/>
                                  <w:sz w:val="18"/>
                                  <w:szCs w:val="18"/>
                                </w:rPr>
                                <w:t>(1) Yetkili kuruluşlar, alınan önlemlerin bildirimi konusunda kuruluş düzeyinde koordinasyonu sağlayacak ve</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veri girişi yapacak temas kişisini/kişilerini tespit eder ve Genel Müdürlüğe iletir.</w:t>
                              </w:r>
                            </w:p>
                            <w:p w:rsidR="008642EC" w:rsidRDefault="008642EC" w:rsidP="008642EC">
                              <w:pPr>
                                <w:pStyle w:val="3-normalyaz"/>
                                <w:spacing w:line="240" w:lineRule="atLeast"/>
                                <w:ind w:firstLine="566"/>
                                <w:rPr>
                                  <w:color w:val="000000"/>
                                  <w:sz w:val="27"/>
                                  <w:szCs w:val="27"/>
                                </w:rPr>
                              </w:pPr>
                              <w:r>
                                <w:rPr>
                                  <w:color w:val="000000"/>
                                  <w:sz w:val="18"/>
                                  <w:szCs w:val="18"/>
                                </w:rPr>
                                <w:t>(2) Genel Müdürlük, bildirimlerde koordinasyonun sağlanması ve uygulamanın değerlendirilmesi amacıyla temas kişilerini senede en az bir defa olmak üzere toplantıya çağırır.</w:t>
                              </w:r>
                            </w:p>
                            <w:p w:rsidR="008642EC" w:rsidRDefault="008642EC" w:rsidP="008642EC">
                              <w:pPr>
                                <w:pStyle w:val="3-normalyaz"/>
                                <w:spacing w:line="240" w:lineRule="atLeast"/>
                                <w:ind w:firstLine="566"/>
                                <w:rPr>
                                  <w:color w:val="000000"/>
                                  <w:sz w:val="27"/>
                                  <w:szCs w:val="27"/>
                                </w:rPr>
                              </w:pPr>
                              <w:r>
                                <w:rPr>
                                  <w:b/>
                                  <w:bCs/>
                                  <w:color w:val="000000"/>
                                  <w:sz w:val="18"/>
                                  <w:szCs w:val="18"/>
                                </w:rPr>
                                <w:t>Bildirim mekanizmalarının takibi</w:t>
                              </w:r>
                            </w:p>
                            <w:p w:rsidR="008642EC" w:rsidRDefault="008642EC" w:rsidP="008642EC">
                              <w:pPr>
                                <w:pStyle w:val="3-normalyaz"/>
                                <w:spacing w:line="240" w:lineRule="atLeast"/>
                                <w:ind w:firstLine="566"/>
                                <w:rPr>
                                  <w:color w:val="000000"/>
                                  <w:sz w:val="27"/>
                                  <w:szCs w:val="27"/>
                                </w:rPr>
                              </w:pPr>
                              <w:r>
                                <w:rPr>
                                  <w:b/>
                                  <w:bCs/>
                                  <w:color w:val="000000"/>
                                  <w:sz w:val="18"/>
                                  <w:szCs w:val="18"/>
                                </w:rPr>
                                <w:t>MADDE 10 –</w:t>
                              </w:r>
                              <w:r>
                                <w:rPr>
                                  <w:rStyle w:val="apple-converted-space"/>
                                  <w:color w:val="000000"/>
                                  <w:sz w:val="18"/>
                                  <w:szCs w:val="18"/>
                                </w:rPr>
                                <w:t> </w:t>
                              </w:r>
                              <w:r>
                                <w:rPr>
                                  <w:color w:val="000000"/>
                                  <w:sz w:val="18"/>
                                  <w:szCs w:val="18"/>
                                </w:rPr>
                                <w:t>(1) Genel Müdürlük, gerekli gördüğü hallerde takip ettiği uluslararası kuruluşlar</w:t>
                              </w:r>
                              <w:r>
                                <w:rPr>
                                  <w:rStyle w:val="apple-converted-space"/>
                                  <w:color w:val="000000"/>
                                  <w:sz w:val="18"/>
                                  <w:szCs w:val="18"/>
                                </w:rPr>
                                <w:t> </w:t>
                              </w:r>
                              <w:proofErr w:type="spellStart"/>
                              <w:r>
                                <w:rPr>
                                  <w:rStyle w:val="spelle"/>
                                  <w:color w:val="000000"/>
                                  <w:sz w:val="18"/>
                                  <w:szCs w:val="18"/>
                                </w:rPr>
                                <w:t>nezdindeki</w:t>
                              </w:r>
                              <w:proofErr w:type="spellEnd"/>
                              <w:r>
                                <w:rPr>
                                  <w:rStyle w:val="apple-converted-space"/>
                                  <w:color w:val="000000"/>
                                  <w:sz w:val="18"/>
                                  <w:szCs w:val="18"/>
                                </w:rPr>
                                <w:t> </w:t>
                              </w:r>
                              <w:r>
                                <w:rPr>
                                  <w:color w:val="000000"/>
                                  <w:sz w:val="18"/>
                                  <w:szCs w:val="18"/>
                                </w:rPr>
                                <w:t>bildirim mekanizmalarında yer alan ürünlere ilişkin olarak yetkili kuruluşlardan bilgi talep edebilir. Yetkili kuruluşlar Genel Müdürlükçe bilgi talep edilen ürünlerle ilgili gerekli incelemeyi yapar ve belirlenen süre içerisinde Genel Müdürlüğe bilgi verir.</w:t>
                              </w:r>
                            </w:p>
                            <w:p w:rsidR="008642EC" w:rsidRDefault="008642EC" w:rsidP="008642EC">
                              <w:pPr>
                                <w:pStyle w:val="3-normalyaz"/>
                                <w:spacing w:line="240" w:lineRule="atLeast"/>
                                <w:ind w:firstLine="566"/>
                                <w:rPr>
                                  <w:color w:val="000000"/>
                                  <w:sz w:val="27"/>
                                  <w:szCs w:val="27"/>
                                </w:rPr>
                              </w:pPr>
                              <w:r>
                                <w:rPr>
                                  <w:color w:val="000000"/>
                                  <w:sz w:val="18"/>
                                  <w:szCs w:val="18"/>
                                </w:rPr>
                                <w:t xml:space="preserve">(2) Ürünün veya bildirime konu güvensizliğin niteliğine göre yetkili kuruluşlarca yapılacak incelemenin Genel </w:t>
                              </w:r>
                              <w:r>
                                <w:rPr>
                                  <w:color w:val="000000"/>
                                  <w:sz w:val="18"/>
                                  <w:szCs w:val="18"/>
                                </w:rPr>
                                <w:lastRenderedPageBreak/>
                                <w:t>Müdürlükçe verilen süreyi aşması durumunda yetkili kuruluşlar ek süre talep edebilir.</w:t>
                              </w:r>
                            </w:p>
                            <w:p w:rsidR="008642EC" w:rsidRDefault="008642EC" w:rsidP="008642EC">
                              <w:pPr>
                                <w:pStyle w:val="3-normalyaz"/>
                                <w:spacing w:line="240" w:lineRule="atLeast"/>
                                <w:ind w:firstLine="566"/>
                                <w:rPr>
                                  <w:color w:val="000000"/>
                                  <w:sz w:val="27"/>
                                  <w:szCs w:val="27"/>
                                </w:rPr>
                              </w:pPr>
                              <w:r>
                                <w:rPr>
                                  <w:b/>
                                  <w:bCs/>
                                  <w:color w:val="000000"/>
                                  <w:sz w:val="18"/>
                                  <w:szCs w:val="18"/>
                                </w:rPr>
                                <w:t>Risk değerlendirmesi</w:t>
                              </w:r>
                            </w:p>
                            <w:p w:rsidR="008642EC" w:rsidRDefault="008642EC" w:rsidP="008642EC">
                              <w:pPr>
                                <w:pStyle w:val="3-normalyaz"/>
                                <w:spacing w:line="240" w:lineRule="atLeast"/>
                                <w:ind w:firstLine="566"/>
                                <w:rPr>
                                  <w:color w:val="000000"/>
                                  <w:sz w:val="27"/>
                                  <w:szCs w:val="27"/>
                                </w:rPr>
                              </w:pPr>
                              <w:r>
                                <w:rPr>
                                  <w:b/>
                                  <w:bCs/>
                                  <w:color w:val="000000"/>
                                  <w:sz w:val="18"/>
                                  <w:szCs w:val="18"/>
                                </w:rPr>
                                <w:t>MADDE 11 –</w:t>
                              </w:r>
                              <w:r>
                                <w:rPr>
                                  <w:rStyle w:val="apple-converted-space"/>
                                  <w:color w:val="000000"/>
                                  <w:sz w:val="18"/>
                                  <w:szCs w:val="18"/>
                                </w:rPr>
                                <w:t> </w:t>
                              </w:r>
                              <w:r>
                                <w:rPr>
                                  <w:color w:val="000000"/>
                                  <w:sz w:val="18"/>
                                  <w:szCs w:val="18"/>
                                </w:rPr>
                                <w:t>(1)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maddenin birinci fıkrasında belirtilen bildirimlere, gerektiğinde, yetkili kuruluşlar tarafından yapılan risk değerlendirmesi belgesi eşlik eder. “Risk Değerlendirmesi Rehberi” ile bu rehberin kullanılacağı ürünlerle ilgili bilgiler, Genel Müdürlük tarafından yetkili kuruluşlara iletilir.</w:t>
                              </w:r>
                            </w:p>
                            <w:p w:rsidR="008642EC" w:rsidRDefault="008642EC" w:rsidP="008642EC">
                              <w:pPr>
                                <w:pStyle w:val="3-normalyaz"/>
                                <w:spacing w:line="240" w:lineRule="atLeast"/>
                                <w:ind w:firstLine="566"/>
                                <w:rPr>
                                  <w:color w:val="000000"/>
                                  <w:sz w:val="27"/>
                                  <w:szCs w:val="27"/>
                                </w:rPr>
                              </w:pPr>
                              <w:r>
                                <w:rPr>
                                  <w:b/>
                                  <w:bCs/>
                                  <w:color w:val="000000"/>
                                  <w:sz w:val="18"/>
                                  <w:szCs w:val="18"/>
                                </w:rPr>
                                <w:t>Geçiş süresi</w:t>
                              </w:r>
                            </w:p>
                            <w:p w:rsidR="008642EC" w:rsidRDefault="008642EC" w:rsidP="008642EC">
                              <w:pPr>
                                <w:pStyle w:val="3-normalyaz"/>
                                <w:spacing w:line="240" w:lineRule="atLeast"/>
                                <w:ind w:firstLine="566"/>
                                <w:rPr>
                                  <w:color w:val="000000"/>
                                  <w:sz w:val="27"/>
                                  <w:szCs w:val="27"/>
                                </w:rPr>
                              </w:pPr>
                              <w:r>
                                <w:rPr>
                                  <w:b/>
                                  <w:bCs/>
                                  <w:color w:val="000000"/>
                                  <w:sz w:val="18"/>
                                  <w:szCs w:val="18"/>
                                </w:rPr>
                                <w:t>GEÇİCİ MADDE 1 –</w:t>
                              </w:r>
                              <w:r>
                                <w:rPr>
                                  <w:rStyle w:val="apple-converted-space"/>
                                  <w:color w:val="000000"/>
                                  <w:sz w:val="18"/>
                                  <w:szCs w:val="18"/>
                                </w:rPr>
                                <w:t> </w:t>
                              </w:r>
                              <w:r>
                                <w:rPr>
                                  <w:color w:val="000000"/>
                                  <w:sz w:val="18"/>
                                  <w:szCs w:val="18"/>
                                </w:rPr>
                                <w:t>(1)</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veri aktarımı yapacak olan mevcut veritabanlarında bu Yönetmeliğin yürürlüğe girdiği tarihten itibaren 6 ay içerisinde gerekli değişiklikler/güncellemeler yapılarak, bu veritabanları</w:t>
                              </w:r>
                              <w:r>
                                <w:rPr>
                                  <w:rStyle w:val="apple-converted-space"/>
                                  <w:color w:val="000000"/>
                                  <w:sz w:val="18"/>
                                  <w:szCs w:val="18"/>
                                </w:rPr>
                                <w:t> </w:t>
                              </w:r>
                              <w:proofErr w:type="spellStart"/>
                              <w:r>
                                <w:rPr>
                                  <w:rStyle w:val="spelle"/>
                                  <w:color w:val="000000"/>
                                  <w:sz w:val="18"/>
                                  <w:szCs w:val="18"/>
                                </w:rPr>
                                <w:t>PGDBİS’e</w:t>
                              </w:r>
                              <w:r>
                                <w:rPr>
                                  <w:color w:val="000000"/>
                                  <w:sz w:val="18"/>
                                  <w:szCs w:val="18"/>
                                </w:rPr>
                                <w:t>veri</w:t>
                              </w:r>
                              <w:proofErr w:type="spellEnd"/>
                              <w:r>
                                <w:rPr>
                                  <w:color w:val="000000"/>
                                  <w:sz w:val="18"/>
                                  <w:szCs w:val="18"/>
                                </w:rPr>
                                <w:t xml:space="preserve"> aktarmaya hazır hale getirilir.</w:t>
                              </w:r>
                            </w:p>
                            <w:p w:rsidR="008642EC" w:rsidRDefault="008642EC" w:rsidP="008642EC">
                              <w:pPr>
                                <w:pStyle w:val="3-normalyaz"/>
                                <w:spacing w:line="240" w:lineRule="atLeast"/>
                                <w:ind w:firstLine="566"/>
                                <w:rPr>
                                  <w:color w:val="000000"/>
                                  <w:sz w:val="27"/>
                                  <w:szCs w:val="27"/>
                                </w:rPr>
                              </w:pPr>
                              <w:r>
                                <w:rPr>
                                  <w:color w:val="000000"/>
                                  <w:sz w:val="18"/>
                                  <w:szCs w:val="18"/>
                                </w:rPr>
                                <w:t>(2) Kendi veritabanı bulunan ve</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veri aktarımını henüz yapamayan yetkili kuruluşlar aktarım sağlanana kadar, yalnızca 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maddenin birinci fıkrasında belirtilen ürünlere ilişkin bilgileri</w:t>
                              </w:r>
                              <w:r>
                                <w:rPr>
                                  <w:rStyle w:val="apple-converted-space"/>
                                  <w:color w:val="000000"/>
                                  <w:sz w:val="18"/>
                                  <w:szCs w:val="18"/>
                                </w:rPr>
                                <w:t> </w:t>
                              </w:r>
                              <w:proofErr w:type="spellStart"/>
                              <w:r>
                                <w:rPr>
                                  <w:rStyle w:val="spelle"/>
                                  <w:color w:val="000000"/>
                                  <w:sz w:val="18"/>
                                  <w:szCs w:val="18"/>
                                </w:rPr>
                                <w:t>PGDBİS’e</w:t>
                              </w:r>
                              <w:proofErr w:type="spellEnd"/>
                              <w:r>
                                <w:rPr>
                                  <w:rStyle w:val="apple-converted-space"/>
                                  <w:color w:val="000000"/>
                                  <w:sz w:val="18"/>
                                  <w:szCs w:val="18"/>
                                </w:rPr>
                                <w:t> </w:t>
                              </w:r>
                              <w:r>
                                <w:rPr>
                                  <w:color w:val="000000"/>
                                  <w:sz w:val="18"/>
                                  <w:szCs w:val="18"/>
                                </w:rPr>
                                <w:t>kaydeder.</w:t>
                              </w:r>
                            </w:p>
                            <w:p w:rsidR="008642EC" w:rsidRDefault="008642EC" w:rsidP="008642EC">
                              <w:pPr>
                                <w:pStyle w:val="3-normalyaz"/>
                                <w:spacing w:line="240" w:lineRule="atLeast"/>
                                <w:ind w:firstLine="566"/>
                                <w:rPr>
                                  <w:color w:val="000000"/>
                                  <w:sz w:val="27"/>
                                  <w:szCs w:val="27"/>
                                </w:rPr>
                              </w:pPr>
                              <w:r>
                                <w:rPr>
                                  <w:b/>
                                  <w:bCs/>
                                  <w:color w:val="000000"/>
                                  <w:sz w:val="18"/>
                                  <w:szCs w:val="18"/>
                                </w:rPr>
                                <w:t>Yürürlük</w:t>
                              </w:r>
                            </w:p>
                            <w:p w:rsidR="008642EC" w:rsidRDefault="008642EC" w:rsidP="008642EC">
                              <w:pPr>
                                <w:pStyle w:val="3-normalyaz"/>
                                <w:spacing w:line="240" w:lineRule="atLeast"/>
                                <w:ind w:firstLine="566"/>
                                <w:rPr>
                                  <w:color w:val="000000"/>
                                  <w:sz w:val="27"/>
                                  <w:szCs w:val="27"/>
                                </w:rPr>
                              </w:pPr>
                              <w:r>
                                <w:rPr>
                                  <w:b/>
                                  <w:bCs/>
                                  <w:color w:val="000000"/>
                                  <w:sz w:val="18"/>
                                  <w:szCs w:val="18"/>
                                </w:rPr>
                                <w:t>MADDE 12 –</w:t>
                              </w:r>
                              <w:r>
                                <w:rPr>
                                  <w:rStyle w:val="apple-converted-space"/>
                                  <w:color w:val="000000"/>
                                  <w:sz w:val="18"/>
                                  <w:szCs w:val="18"/>
                                </w:rPr>
                                <w:t> </w:t>
                              </w:r>
                              <w:r>
                                <w:rPr>
                                  <w:color w:val="000000"/>
                                  <w:sz w:val="18"/>
                                  <w:szCs w:val="18"/>
                                </w:rPr>
                                <w:t>(1) Bu Yönetmelik yayımı tarihinde yürürlüğe girer.</w:t>
                              </w:r>
                            </w:p>
                            <w:p w:rsidR="008642EC" w:rsidRDefault="008642EC" w:rsidP="008642EC">
                              <w:pPr>
                                <w:pStyle w:val="3-normalyaz"/>
                                <w:spacing w:line="240" w:lineRule="atLeast"/>
                                <w:ind w:firstLine="566"/>
                                <w:rPr>
                                  <w:color w:val="000000"/>
                                  <w:sz w:val="27"/>
                                  <w:szCs w:val="27"/>
                                </w:rPr>
                              </w:pPr>
                              <w:r>
                                <w:rPr>
                                  <w:b/>
                                  <w:bCs/>
                                  <w:color w:val="000000"/>
                                  <w:sz w:val="18"/>
                                  <w:szCs w:val="18"/>
                                </w:rPr>
                                <w:t>Yürütme</w:t>
                              </w:r>
                            </w:p>
                            <w:p w:rsidR="008642EC" w:rsidRDefault="008642EC" w:rsidP="008642EC">
                              <w:pPr>
                                <w:pStyle w:val="3-normalyaz"/>
                                <w:spacing w:line="240" w:lineRule="atLeast"/>
                                <w:ind w:firstLine="566"/>
                                <w:rPr>
                                  <w:color w:val="000000"/>
                                  <w:sz w:val="27"/>
                                  <w:szCs w:val="27"/>
                                </w:rPr>
                              </w:pPr>
                              <w:r>
                                <w:rPr>
                                  <w:b/>
                                  <w:bCs/>
                                  <w:color w:val="000000"/>
                                  <w:sz w:val="18"/>
                                  <w:szCs w:val="18"/>
                                </w:rPr>
                                <w:t>MADDE 13 –</w:t>
                              </w:r>
                              <w:r>
                                <w:rPr>
                                  <w:rStyle w:val="apple-converted-space"/>
                                  <w:color w:val="000000"/>
                                  <w:sz w:val="18"/>
                                  <w:szCs w:val="18"/>
                                </w:rPr>
                                <w:t> </w:t>
                              </w:r>
                              <w:r>
                                <w:rPr>
                                  <w:color w:val="000000"/>
                                  <w:sz w:val="18"/>
                                  <w:szCs w:val="18"/>
                                </w:rPr>
                                <w:t>(1) Bu Yönetmelik hükümlerini Ekonomi Bakanı yürütür.</w:t>
                              </w:r>
                            </w:p>
                            <w:p w:rsidR="00DB7872" w:rsidRPr="00DB7872" w:rsidRDefault="00DB7872" w:rsidP="00DB7872">
                              <w:pPr>
                                <w:spacing w:after="0" w:line="240" w:lineRule="auto"/>
                                <w:jc w:val="center"/>
                                <w:rPr>
                                  <w:rFonts w:ascii="Times New Roman" w:eastAsia="Times New Roman" w:hAnsi="Times New Roman" w:cs="Times New Roman"/>
                                  <w:sz w:val="24"/>
                                  <w:szCs w:val="24"/>
                                  <w:lang w:eastAsia="tr-TR"/>
                                </w:rPr>
                              </w:pPr>
                            </w:p>
                          </w:tc>
                        </w:tr>
                      </w:tbl>
                      <w:p w:rsidR="000F39D5" w:rsidRPr="000F39D5" w:rsidRDefault="000F39D5" w:rsidP="000F39D5">
                        <w:pPr>
                          <w:spacing w:before="100" w:beforeAutospacing="1" w:after="100" w:afterAutospacing="1" w:line="240" w:lineRule="atLeast"/>
                          <w:jc w:val="center"/>
                          <w:rPr>
                            <w:rFonts w:ascii="Times New Roman" w:eastAsia="Times New Roman" w:hAnsi="Times New Roman" w:cs="Times New Roman"/>
                            <w:sz w:val="24"/>
                            <w:szCs w:val="24"/>
                            <w:lang w:eastAsia="tr-TR"/>
                          </w:rPr>
                        </w:pPr>
                      </w:p>
                    </w:tc>
                  </w:tr>
                </w:tbl>
                <w:p w:rsidR="00AB2AE3" w:rsidRPr="00AB2AE3" w:rsidRDefault="00AB2AE3" w:rsidP="00AB2AE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B2AE3">
                    <w:rPr>
                      <w:rFonts w:ascii="Arial" w:eastAsia="Times New Roman" w:hAnsi="Arial" w:cs="Arial"/>
                      <w:b/>
                      <w:bCs/>
                      <w:color w:val="000080"/>
                      <w:sz w:val="18"/>
                      <w:szCs w:val="18"/>
                      <w:lang w:eastAsia="tr-TR"/>
                    </w:rPr>
                    <w:lastRenderedPageBreak/>
                    <w:t> </w:t>
                  </w:r>
                </w:p>
              </w:tc>
            </w:tr>
          </w:tbl>
          <w:p w:rsidR="00AB2AE3" w:rsidRPr="00AB2AE3" w:rsidRDefault="00AB2AE3" w:rsidP="00AB2AE3">
            <w:pPr>
              <w:spacing w:after="0" w:line="240" w:lineRule="auto"/>
              <w:rPr>
                <w:rFonts w:ascii="Times New Roman" w:eastAsia="Times New Roman" w:hAnsi="Times New Roman" w:cs="Times New Roman"/>
                <w:sz w:val="24"/>
                <w:szCs w:val="24"/>
                <w:lang w:eastAsia="tr-TR"/>
              </w:rPr>
            </w:pPr>
          </w:p>
        </w:tc>
      </w:tr>
    </w:tbl>
    <w:p w:rsidR="00AB2AE3" w:rsidRPr="00AB2AE3" w:rsidRDefault="00AB2AE3" w:rsidP="00AB2AE3">
      <w:pPr>
        <w:spacing w:after="0" w:line="240" w:lineRule="auto"/>
        <w:jc w:val="center"/>
        <w:rPr>
          <w:rFonts w:ascii="Times New Roman" w:eastAsia="Times New Roman" w:hAnsi="Times New Roman" w:cs="Times New Roman"/>
          <w:color w:val="000000"/>
          <w:sz w:val="27"/>
          <w:szCs w:val="27"/>
          <w:lang w:eastAsia="tr-TR"/>
        </w:rPr>
      </w:pPr>
      <w:r w:rsidRPr="00AB2AE3">
        <w:rPr>
          <w:rFonts w:ascii="Times New Roman" w:eastAsia="Times New Roman" w:hAnsi="Times New Roman" w:cs="Times New Roman"/>
          <w:color w:val="000000"/>
          <w:sz w:val="27"/>
          <w:szCs w:val="27"/>
          <w:lang w:eastAsia="tr-TR"/>
        </w:rPr>
        <w:lastRenderedPageBreak/>
        <w:t> </w:t>
      </w:r>
    </w:p>
    <w:p w:rsidR="004305F4" w:rsidRDefault="004305F4"/>
    <w:sectPr w:rsidR="004305F4"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2AE3"/>
    <w:rsid w:val="000F39D5"/>
    <w:rsid w:val="001F5CF1"/>
    <w:rsid w:val="002E6971"/>
    <w:rsid w:val="004305F4"/>
    <w:rsid w:val="005B3A4E"/>
    <w:rsid w:val="007F6C6C"/>
    <w:rsid w:val="008642EC"/>
    <w:rsid w:val="0098164A"/>
    <w:rsid w:val="00AB2AE3"/>
    <w:rsid w:val="00D7449A"/>
    <w:rsid w:val="00DB78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B2AE3"/>
  </w:style>
  <w:style w:type="character" w:customStyle="1" w:styleId="grame">
    <w:name w:val="grame"/>
    <w:basedOn w:val="VarsaylanParagrafYazTipi"/>
    <w:rsid w:val="00AB2AE3"/>
  </w:style>
  <w:style w:type="paragraph" w:styleId="NormalWeb">
    <w:name w:val="Normal (Web)"/>
    <w:basedOn w:val="Normal"/>
    <w:uiPriority w:val="99"/>
    <w:unhideWhenUsed/>
    <w:rsid w:val="00AB2A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B2A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B2AE3"/>
  </w:style>
  <w:style w:type="character" w:customStyle="1" w:styleId="normal1">
    <w:name w:val="normal1"/>
    <w:basedOn w:val="VarsaylanParagrafYazTipi"/>
    <w:rsid w:val="00AB2AE3"/>
  </w:style>
  <w:style w:type="paragraph" w:customStyle="1" w:styleId="1-baslk">
    <w:name w:val="1-baslk"/>
    <w:basedOn w:val="Normal"/>
    <w:rsid w:val="000F39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F39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4355363">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232738464">
      <w:bodyDiv w:val="1"/>
      <w:marLeft w:val="0"/>
      <w:marRight w:val="0"/>
      <w:marTop w:val="0"/>
      <w:marBottom w:val="0"/>
      <w:divBdr>
        <w:top w:val="none" w:sz="0" w:space="0" w:color="auto"/>
        <w:left w:val="none" w:sz="0" w:space="0" w:color="auto"/>
        <w:bottom w:val="none" w:sz="0" w:space="0" w:color="auto"/>
        <w:right w:val="none" w:sz="0" w:space="0" w:color="auto"/>
      </w:divBdr>
    </w:div>
    <w:div w:id="631516514">
      <w:bodyDiv w:val="1"/>
      <w:marLeft w:val="0"/>
      <w:marRight w:val="0"/>
      <w:marTop w:val="0"/>
      <w:marBottom w:val="0"/>
      <w:divBdr>
        <w:top w:val="none" w:sz="0" w:space="0" w:color="auto"/>
        <w:left w:val="none" w:sz="0" w:space="0" w:color="auto"/>
        <w:bottom w:val="none" w:sz="0" w:space="0" w:color="auto"/>
        <w:right w:val="none" w:sz="0" w:space="0" w:color="auto"/>
      </w:divBdr>
    </w:div>
    <w:div w:id="201799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865</Words>
  <Characters>4937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Force</cp:lastModifiedBy>
  <cp:revision>2</cp:revision>
  <dcterms:created xsi:type="dcterms:W3CDTF">2013-07-27T13:30:00Z</dcterms:created>
  <dcterms:modified xsi:type="dcterms:W3CDTF">2013-07-27T13:30:00Z</dcterms:modified>
</cp:coreProperties>
</file>