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3B147D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28738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3B147D" w:rsidRPr="003B147D" w:rsidRDefault="003B147D" w:rsidP="003B147D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B147D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3B14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3B14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3B14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3B14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2013/5171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Ekli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Uygulama Esaslar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 Karar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”ı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 konulmas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;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3B147D">
        <w:rPr>
          <w:rFonts w:ascii="Times New Roman" w:eastAsia="ヒラギノ明朝 Pro W3" w:hAnsi="Times" w:cs="Times New Roman"/>
          <w:sz w:val="18"/>
          <w:szCs w:val="18"/>
        </w:rPr>
        <w:t>18/7/2013</w:t>
      </w:r>
      <w:proofErr w:type="gram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tarihli ve 11790 say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zerine, Bakanlar Kurulu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nca 22/7/2013 tarihinde kararla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3B147D" w:rsidRPr="003B147D" w:rsidRDefault="003B147D" w:rsidP="003B147D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3B147D" w:rsidRPr="003B147D" w:rsidRDefault="003B147D" w:rsidP="003B147D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3B147D" w:rsidRPr="003B147D" w:rsidRDefault="003B147D" w:rsidP="003B14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3B147D" w:rsidRPr="003B147D" w:rsidRDefault="003B147D" w:rsidP="003B14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3B147D" w:rsidRPr="003B147D" w:rsidRDefault="003B147D" w:rsidP="003B14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3B147D" w:rsidRPr="003B147D" w:rsidRDefault="003B147D" w:rsidP="003B147D">
      <w:pPr>
        <w:tabs>
          <w:tab w:val="center" w:pos="1595"/>
          <w:tab w:val="center" w:pos="3711"/>
          <w:tab w:val="center" w:pos="623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3B147D" w:rsidRPr="003B147D" w:rsidRDefault="003B147D" w:rsidP="003B147D">
      <w:pPr>
        <w:tabs>
          <w:tab w:val="center" w:pos="1595"/>
          <w:tab w:val="center" w:pos="3711"/>
          <w:tab w:val="center" w:pos="62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Millî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Millî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3B147D" w:rsidRPr="003B147D" w:rsidRDefault="003B147D" w:rsidP="003B147D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3B147D" w:rsidRPr="003B147D" w:rsidRDefault="003B147D" w:rsidP="003B147D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3B14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3B147D" w:rsidRPr="003B147D" w:rsidRDefault="003B147D" w:rsidP="003B147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3B147D" w:rsidRPr="003B147D" w:rsidRDefault="003B147D" w:rsidP="003B147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OKUL S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 PROGRAMI UYGULAMA ESASLARI HAKKINDA KARAR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Bu Karar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;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ortakla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lecek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(Program) kapsam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 anaokulu, uygulama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anas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ilkokul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rencilerine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kazand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ile yeterli ve dengeli beslenmelerine katk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 bulunarak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ve geli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melerinin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yla, 2013-2014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zere 2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resince UHT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belirlenmesidir.</w:t>
      </w:r>
      <w:proofErr w:type="gramEnd"/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(ba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 anaokulu, uygulama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anas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ilkokul) Programa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 veya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proofErr w:type="gramStart"/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proofErr w:type="gram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ketilmesini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halinde velinin iste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 esas 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narak kurum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netiminin karar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rultusunda Program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 tutulur.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Miktar, takvim,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retim ve sevkiyat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(1)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nca belirlenecek okullarda her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renciye, bu maddede belirtilen esaslar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evesinde haftada 3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n, 200 ml sade, ya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UHT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(2) Program do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rultusunda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temini ve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takvimi, her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3B147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madde kapsam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 belirlenir.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(3) Program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resince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sevkiyatlar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nca belirlenecek </w:t>
      </w:r>
      <w:proofErr w:type="gramStart"/>
      <w:r w:rsidRPr="003B147D">
        <w:rPr>
          <w:rFonts w:ascii="Times New Roman" w:eastAsia="ヒラギノ明朝 Pro W3" w:hAnsi="Times" w:cs="Times New Roman"/>
          <w:sz w:val="18"/>
          <w:szCs w:val="18"/>
        </w:rPr>
        <w:t>kriterlere</w:t>
      </w:r>
      <w:proofErr w:type="gram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uygun olarak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(4)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sevkiyatlar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il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inde, il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klerinin organizasyonu ve kontrol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nde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(5) UHT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proofErr w:type="gramStart"/>
      <w:r w:rsidRPr="003B147D">
        <w:rPr>
          <w:rFonts w:ascii="Times New Roman" w:eastAsia="ヒラギノ明朝 Pro W3" w:hAnsi="Times" w:cs="Times New Roman"/>
          <w:sz w:val="18"/>
          <w:szCs w:val="18"/>
        </w:rPr>
        <w:t>17/12/2011</w:t>
      </w:r>
      <w:proofErr w:type="gram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tarihli ve 28145 say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mlanarak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 giren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letmelerinin Kay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t ve Onay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lemlerine Dair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lke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inde UHT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retimi yapan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letmelerinden, 4/1/2002 tarihli ve 4734 say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hale Kanunu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evesinde temin edilir.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rev, sorumluluk ve organizasyon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Bu Karar kapsam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a) Program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koordinasyonu ile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tedariki ve illere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b)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Komisyonu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kabul edilen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 muhafaza edilmesi ve/veya ettirilmesi ve uygun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artlarda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ketiminin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c) Program uygulama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neminde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rencilerin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ketim 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ikliklere ve uzun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nemde geli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melerine ili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incelenmesi ve sonu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ile payla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B147D">
        <w:rPr>
          <w:rFonts w:ascii="Times New Roman" w:eastAsia="ヒラギノ明朝 Pro W3" w:hAnsi="Times" w:cs="Times New Roman"/>
          <w:sz w:val="18"/>
          <w:szCs w:val="18"/>
        </w:rPr>
        <w:t>sorumludur</w:t>
      </w:r>
      <w:proofErr w:type="gramEnd"/>
      <w:r w:rsidRPr="003B147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(2) Aile hekimleri,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retmenler ve/veya veliler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te kar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duyarl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tespit edilen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renciler okul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netimleri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Program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 tutulur.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(3) Program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resince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teslim 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depoda muhafazas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ketimi ile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erik ve format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nca birlikte belirlenecek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renci bilgilerinin e-okul sistemine kaydedilmesi, verilerin toplanmas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zaman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 ula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labilir olmas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nca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(4)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UHT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me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yurt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retilen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tten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rk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 mevzuat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uygun olarak elde edilir ve ambalaj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ekli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nca belirlenir.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llerde;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itimden sorumlu vali yard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 il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il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defterdarl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ve il halk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temsilcilerinden olu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an ve Program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lmesinden sorumlu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Komisyonu kurulur.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Komisyonu, mal muayene ve kabul komisyonu olarak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rev yapar ve </w:t>
      </w:r>
      <w:proofErr w:type="spellStart"/>
      <w:r w:rsidRPr="003B147D">
        <w:rPr>
          <w:rFonts w:ascii="Times New Roman" w:eastAsia="ヒラギノ明朝 Pro W3" w:hAnsi="Times" w:cs="Times New Roman"/>
          <w:sz w:val="18"/>
          <w:szCs w:val="18"/>
        </w:rPr>
        <w:t>sekreteryas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il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(6)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tlerinin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retiminden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ketimine kadarki 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nda,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rk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 mevzuat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ile ihale teknik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artnamesine uygunlu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unun denetimi il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(7) Teknik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artnameye uygun oldu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u halde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itli nedenlerle (okullar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renci say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iklik,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renci devams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resmi tatil, hava ko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mahalli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zeyde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itime ge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ici olarak ara verilmesi ve benzeri)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lamayan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tler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Komisyonlar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nca,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ncelik veli izni olan di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er kurumlardaki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renciler olmak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zere mahallinde de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itim ve tan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Program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ileti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im stratejisinin belirlenmesi ve Programda yer alan ki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itimleri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yla Ulusal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 Konseyi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(2) Program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in gerekli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ve tan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etkinlikleri ile materyallerinin temini, da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yay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ileti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im faaliyetleri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koordinasyonunda, Ulusal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 Konseyi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Finansman ve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demeler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Bu Karar uyar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demeler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in gerekli kaynak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genel b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eden tahsis edilen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(2) Okul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Komisyonu taraf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lerek kabul edilen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tlere ili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kin olarak, 7 </w:t>
      </w:r>
      <w:proofErr w:type="spellStart"/>
      <w:r w:rsidRPr="003B147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madde kapsam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 belirtilecek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inde Valiliklerce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zenlenecek onayl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muayene ve kabul tutana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demeler, 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 konusu tebli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de belirtilecek esaslar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evesinde, muayene ve kabul tutanaklar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istinaden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rlanacak icmallere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Denetim ve cezai h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Programla ilgili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demeler ve di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er hususlarda denetimi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layacak tedbirleri, Programdaki sorumluluklar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,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sz w:val="18"/>
          <w:szCs w:val="18"/>
        </w:rPr>
        <w:t>(2) Haks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demelerin yap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demeyi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layan belge veya belgeleri d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zenleyen ger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iler geri al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nacak tutarlar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tahsilinde 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tereken sorumlu tutulur.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Uygulamaya ili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kin usul ve esaslar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Bu Karar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kin usul ve esaslar; Milli E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zerine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le belirlenir.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Bu Karar yay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3B147D" w:rsidRPr="003B147D" w:rsidRDefault="003B147D" w:rsidP="003B147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3B147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(1) Bu Karar h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B147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47D" w:rsidRPr="003B147D" w:rsidRDefault="003B147D" w:rsidP="003B14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3B147D" w:rsidRDefault="003B147D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3B147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B87" w:rsidRDefault="009D4B87" w:rsidP="00CE6B7C">
      <w:pPr>
        <w:spacing w:after="0" w:line="240" w:lineRule="auto"/>
      </w:pPr>
      <w:r>
        <w:separator/>
      </w:r>
    </w:p>
  </w:endnote>
  <w:endnote w:type="continuationSeparator" w:id="0">
    <w:p w:rsidR="009D4B87" w:rsidRDefault="009D4B87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B4B0E">
        <w:pPr>
          <w:pStyle w:val="Altbilgi"/>
          <w:jc w:val="center"/>
        </w:pPr>
        <w:fldSimple w:instr=" PAGE   \* MERGEFORMAT ">
          <w:r w:rsidR="003B147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B87" w:rsidRDefault="009D4B87" w:rsidP="00CE6B7C">
      <w:pPr>
        <w:spacing w:after="0" w:line="240" w:lineRule="auto"/>
      </w:pPr>
      <w:r>
        <w:separator/>
      </w:r>
    </w:p>
  </w:footnote>
  <w:footnote w:type="continuationSeparator" w:id="0">
    <w:p w:rsidR="009D4B87" w:rsidRDefault="009D4B87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20DC"/>
    <w:rsid w:val="003364E7"/>
    <w:rsid w:val="00347531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C6B47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1088</Words>
  <Characters>6203</Characters>
  <Application>Microsoft Office Word</Application>
  <DocSecurity>0</DocSecurity>
  <Lines>51</Lines>
  <Paragraphs>14</Paragraphs>
  <ScaleCrop>false</ScaleCrop>
  <Company>TURMOB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143</cp:revision>
  <cp:lastPrinted>2013-06-18T05:31:00Z</cp:lastPrinted>
  <dcterms:created xsi:type="dcterms:W3CDTF">2013-06-03T05:31:00Z</dcterms:created>
  <dcterms:modified xsi:type="dcterms:W3CDTF">2013-08-19T05:35:00Z</dcterms:modified>
</cp:coreProperties>
</file>