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3B147D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Sayı : 28738</w:t>
      </w: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3B147D" w:rsidRDefault="003B147D" w:rsidP="00FE3A4E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3B147D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FE3A4E" w:rsidRPr="00FE3A4E" w:rsidRDefault="00FE3A4E" w:rsidP="00FE3A4E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E3A4E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 Sayısı : 2013/5150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Ekli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Tapu Sicili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üğü”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konulmas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ehircilik Bakanl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22/1/2013 tarihli ve 400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zerine, 4721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 Meden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Kanununun 913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997 nci, 998 inci,  1000 inci,  1012 nci ve 1017 nci maddelerine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re, Bakanlar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nca 22/7/2013 tarihinde kararla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FE3A4E" w:rsidRPr="00FE3A4E" w:rsidRDefault="00FE3A4E" w:rsidP="00FE3A4E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FE3A4E" w:rsidRPr="00FE3A4E" w:rsidRDefault="00FE3A4E" w:rsidP="00FE3A4E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FE3A4E" w:rsidRPr="00FE3A4E" w:rsidRDefault="00FE3A4E" w:rsidP="00FE3A4E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Recep Tayyip ERDOĞAN</w:t>
      </w:r>
    </w:p>
    <w:p w:rsidR="00FE3A4E" w:rsidRPr="00FE3A4E" w:rsidRDefault="00FE3A4E" w:rsidP="00FE3A4E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 Yardımcısı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 Yardımcısı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 Yardımcısı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 Yardımcısı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Adalet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 xml:space="preserve">Aile ve Sosyal Politikalar Bakanı 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Avrupa Birliği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Bilim, Sanayi ve Teknoloji Bakanı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Çalışma ve Sosyal Güvenlik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Çevre ve Şehircilik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Dışişleri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Ekonomi Bakanı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Enerji ve Tabii Kaynaklar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Gençlik ve Spor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Gıda, Tarım ve Hayvancılık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Gümrük ve Ticaret Bakanı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FE3A4E" w:rsidRPr="00FE3A4E" w:rsidRDefault="00FE3A4E" w:rsidP="00FE3A4E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İçişleri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Kalkınma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Kültür ve Turizm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Maliye Bakanı</w:t>
      </w:r>
    </w:p>
    <w:p w:rsidR="00FE3A4E" w:rsidRPr="00FE3A4E" w:rsidRDefault="00FE3A4E" w:rsidP="00FE3A4E">
      <w:pPr>
        <w:tabs>
          <w:tab w:val="center" w:pos="1595"/>
          <w:tab w:val="center" w:pos="3891"/>
          <w:tab w:val="center" w:pos="623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FE3A4E" w:rsidRPr="00FE3A4E" w:rsidRDefault="00FE3A4E" w:rsidP="00FE3A4E">
      <w:pPr>
        <w:tabs>
          <w:tab w:val="center" w:pos="1595"/>
          <w:tab w:val="center" w:pos="389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Millî Eğitim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Millî Savunma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Orman ve Su İşleri Bakanı</w:t>
      </w:r>
    </w:p>
    <w:p w:rsidR="00FE3A4E" w:rsidRPr="00FE3A4E" w:rsidRDefault="00FE3A4E" w:rsidP="00FE3A4E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FE3A4E" w:rsidRPr="00FE3A4E" w:rsidRDefault="00FE3A4E" w:rsidP="00FE3A4E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Sağlık Bakanı</w:t>
      </w:r>
      <w:r w:rsidRPr="00FE3A4E">
        <w:rPr>
          <w:rFonts w:ascii="Times New Roman" w:eastAsia="Times New Roman" w:hAnsi="Times New Roman" w:cs="Times New Roman"/>
          <w:sz w:val="14"/>
          <w:lang w:val="en-GB" w:eastAsia="tr-TR"/>
        </w:rPr>
        <w:tab/>
        <w:t>Ulaştırma, Denizcilik ve Haberleşme Bakanı</w:t>
      </w:r>
    </w:p>
    <w:p w:rsidR="00FE3A4E" w:rsidRPr="00FE3A4E" w:rsidRDefault="00FE3A4E" w:rsidP="00FE3A4E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FE3A4E" w:rsidRPr="00FE3A4E" w:rsidRDefault="00FE3A4E" w:rsidP="00FE3A4E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TAPU 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T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</w:p>
    <w:p w:rsidR="00FE3A4E" w:rsidRPr="00FE3A4E" w:rsidRDefault="00FE3A4E" w:rsidP="00FE3A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amac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22/11/2001 tarih ve 4721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rk Medeni Kanununun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tapu sicillerinin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zenli bir bi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imde tutulmas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lamakt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nmazlarla ilgili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haklar ve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tapu siciline tescil,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iklik, terkin ve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lemleri ile sicil ve belgelerin 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ivlenmesinin us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 ve esaslar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4721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Kanunun 913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997 nci, 998 inci, 1000 inci, 1012 nci ve 1017 nci maddelerine dayan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: Tapu ve Kadastro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klerini,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k: Tapu ve Kadastro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belgesi: Tescil veya terkin istem belgesini,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k: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kat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lkiyeti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d)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r: Tapu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e)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k: Tapu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f)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S: Tapu ve Kadastro Bilgi Sistemini,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lastRenderedPageBreak/>
        <w:t>g)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revlisi: Tapu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klerinde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haz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rlama ve kontrol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lerini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ten memur veya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meli personeli,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FE3A4E" w:rsidRPr="00FE3A4E" w:rsidRDefault="00FE3A4E" w:rsidP="00FE3A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Genel H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Tapu sicili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sicili, Devletin sorumlulu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alt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nda, tescil ve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ilkelerine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nmazlar ile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durumlar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stermek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 tutulan sicildir.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Sicil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lgeleri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Her il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enin idar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bir tapu sicili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lgesidir.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nmazlar, bulunduklar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lgenin tapu siciline kaydedilir.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Tapu sicili, her mahalle veya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zenlenir ve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nmazlara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rkiye Cumhuriyeti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(3) Birden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ok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lgede bulunan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nmaz,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 sicillerine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belirtilmek suretiyle her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lgedeki sicile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kaydedilir.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yle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tescil istemleri ve tescil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lgede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tescil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lenmek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lgelerdeki ilgili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klere bildirilir.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Tapu sicilinin unsurlar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sicili,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da belirtilen ana ve yard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sicillerden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ur: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Ana siciller: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Kat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lkiyeti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c) Yevmiye defteri,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belgeler (resm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senet,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erleri),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d) Pl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Yard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siciller: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Aziller sicili,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zeltmeler sicili,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c) Kamu orta mallar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Tapu envanter defteri.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Tapu siciline kayd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gereken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nmazlar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siciline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olarak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unlar kaydedilir: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Arazi,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ve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rekli haklar,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c) Kat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lkiyetine konu olan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lkiyete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bi olmayan ve kamunun yararlanmas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nmazlar, bunlara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tescili gerekli bir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kurulmas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konusu olmad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kaydolunmaz.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Tapuya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nmaz, kayda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bi olmayan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nmaza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rse, tapu sicilinden terkin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Arazi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Arazi,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hukuk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geometrik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ntemlerle belirlenmi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yery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par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Arazinin tapu siciline kayd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kanun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mlerine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bidir.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 ve 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rekli haklar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resiz veya en az otuz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reli olan ve tasarruflar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tlanmayan ve izne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bi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nmayan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ve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rekli irtifak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hak sahibinin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istemi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bir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olarak tescil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olarak tescil edilen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ve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rekli haklar,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ilere devredilebilir, miras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ebilir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her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hak kurulabilir.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Ana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lkiyete konu olan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mleri, kat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lkiyeti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kaydedilir.</w:t>
      </w:r>
    </w:p>
    <w:p w:rsidR="00FE3A4E" w:rsidRPr="00FE3A4E" w:rsidRDefault="00FE3A4E" w:rsidP="00FE3A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Tapu Sicilinin Elektronik Ortamda Tutulmas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Sicillerin elektronik ortamda tutulmas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elektronik ortamda tutulmas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ana ve yard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siciller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erisinde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netilir.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 saklanan ve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bilgiler, sicilde esas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tlar, sicillerin elektronik ortamda tutulmaya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tarihten sonraki bilgileri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Elektronik ortamda 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13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belirlenecek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ekle tab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olmayan belge ve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verilmesi gibi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lemler, elektronik ortamda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ve elektronik imza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hil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kimlik do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rulama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ntemleri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tamamlanabilir.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Elektronik ortamda verilere eri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im hakk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Mahkemeler, Cumhuriyet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icra ve iflas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kleri ile kamu kurum ve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revleriyle ilgili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verilerine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imi protokol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zenlenerek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lanabilir.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sahip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ile ilgili verileri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zerinden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Kamu kurumu niteli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konularda faaliyet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steren ger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iler, kendi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leriyle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zenlenecek protokol kapsam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gerekli verilere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ebilirler.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zerinden sorgulama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in,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belirlenecek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imzalan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mede,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imin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ekli,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 kontrol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verilerin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amac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ilere kulland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rlamalar ve amac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yer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malikleri ile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hak sahibi olanlar,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zenlenecek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dahilinde verilere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ebilirler.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Tapu sicilinde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bilgileri herkes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sorgulanabilir.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(6) Verilere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ye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linde,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kanun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zere,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 derh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 durdurulur.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(7)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 verilerine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ime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ner sermaye kat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bunun istisnalar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belirlemeye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im ve bilgi g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lacak her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sorgulama ve sorgulayan bilgisi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Bu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tlar iki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reyle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verilere 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imi durdurmaya veya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tlama yapmaya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zerinde,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revlileri hari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zere, verilerin 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sorgulanmas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her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nlemi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stem ve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lemin Sonu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stem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Kanunlarda veya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kte belirlenen istisnalar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nda,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istem olmad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a tapu sicili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stem, tescili bozucu veya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arta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lanamaz,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klere her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tapu  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 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lacak  istemde,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vuru istem belgesi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Tapu sicilinde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lacak haciz dahil her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sorgulamas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istemlerinde,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ada ve parsel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belirtilmesi zorunludur. Aksi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lde istem reddedilir.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stemde bulunacaklar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Kanun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istisnalar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nda, tapu sicilinde hak sahibi olan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iler istemde bulunabilir. Tescilden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 hak sahibi olmu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 de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tescili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gerekli belgeleri ibraz ederek istemde bulunabilirler.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Aile konutu olarak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lenen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maliki olmayan 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konutun aile konutu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una dair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erhin verilmesini isteyebilir.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Hak sahibinin belirlenmesi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veya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revlisi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incelenir ve istemin hak sahibi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belirlenir.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stemde bulunan hak sahibi ger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ise,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rkiye Cumhuriyeti kimlik numaral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fus 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zdan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istenir, ibraz edilen kimlik bilgileri ile tescile esas belgelerde yer alan 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fus bilgileri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istemde bulunan ile hak sahibinin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olup olmad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tespit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Hak sahibinin tespit edilmesine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nelik kimlik do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rulama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ntemlerini belirleyerek her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teknolojik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nlemlerini almaya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vek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leten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sa, vekilden 18/1/1972 tarih ve 1512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Noterlik Kanununa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istem konusu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leri yapmaya yetkili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unu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erir vek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letname istenir. Tapu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zenlenecek vek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letnamelerde, vek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 verenin imzas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zorunludur. Vekil, tevkil yetkisine dayal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bir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vekil tayin etmi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ise, dayana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olan vek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letname de aran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Vekilin kimli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belirlendikten sonra, tapu sicilindeki hak sahibi ile vek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letnamedeki vek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 verenin kimli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ikinci 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bir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ise,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inin istemde bulunulan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 yapabilece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ini ve temsilcilerini belirten, kanunlarda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mercilerden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yetki belgesi ve imza sirk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leri aran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Yetki belgesinde, temsilcinin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da bulunmas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stemde bulunan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kanun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temsilci ise, yetkili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unu belirten karar veya belge istenir.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(7)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stem, kamu kurum ve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rsa, bu kamu kurum ve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ve temsilcilerinin yetkilerinin olup olmad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belirlenir.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(8) Yabanc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uyruklu ger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 ve yabanc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lkelerde kendi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lkelerinin kanunlar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kurulan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 sahip ticaret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irketlerinin tapu ve kadastro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lemlerinde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lacak belgeleri belirlemeye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Tasarruf yetkisinin belirlenmesi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stemde bulunanlar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fiil ehliyetinin bulunup bulunmad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 istem sahibinin ifade, tav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 davran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fiil ehliyetinin bulunup bulunmad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hususunda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pheye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ûş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erse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undan ilgilinin 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rt etme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sahip olup olmad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foto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rafl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raporu ister. Raporun tarihi ve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 veya istem belgesi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 belirtilir ve raporun asl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dosyas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Resm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senet 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zenlenmesini gerektirmeyen 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zenlenmesini gerektirmeyen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lemlerde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tescili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stem, yasal veya atanm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miras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rsa yetkili merciler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verilmi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miras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belgesi,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stem, vasiyet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rsa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tescil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erir tenfiz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kim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tescil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birlikte tenfiz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vasiyetnamenin onayl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i; vasiyet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yasal ve atanm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miras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birlikte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rsa vasiyetnamenin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 okundu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una dair karar ile birlikte vasiyetnamenin onayl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c) Miras taksim veya miras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devri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mesinde tescil yetkisini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erir noterce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me; miras taksim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mesi miras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 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olup da miras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imzalar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noterce onaylanmam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sa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miras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n; imzalar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bir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 imzalar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onaylanmam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istemleri,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kmen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kamula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rmalarda;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d) Cebri icra veya ortakl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giderilmesi yoluyla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larda; ger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ihale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rkiye Cumhuriyeti kimlik numaral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fus bilgilerini ve foto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eren,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ihale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ise kanunlarda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mercilerden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yetki belgesi ile birlikte ihale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unvan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eren ihalenin kesinle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ini ve tescili belirten yetkili merciin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e)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dayal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tescillerde; kesinle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mar uygulamalar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nda; kesinle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imar parselasyon planlar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cetvelleri ve gerekli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belgeler,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g) Devlet veya kamu kurumlar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tahsis veya devir yoluyla 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nda; ilgili kanuna uygun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ekilde yetkili mercilerce verilen karar,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kimlik bilgilerini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erir 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cetvelleri,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Arazi toplula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nda; yetkili mercilerce onanan kesinle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toplula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rma planlar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kimlik bilgilerini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erir 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cetvelleri,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h) Kooperatiflerin ferdile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lemlerinde;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yelerin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kimlik bilgilerini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erir liste,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Resm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senet 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zenlenmesi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zenlenmesi gereken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lemlerde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senetlerin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zenlenmesine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usul ve esaslar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netmelikle belirlenir.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stem belgesi 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zenlenmesi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zenlenmesini gerektirmeyen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lemlerde, istem sahibinin kimlik bilgileri ile merkezi 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fus idaresi sisteminden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nan yerle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 yeri bilgilerini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eren istem belgesi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veya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revlisi, istem belgesinin imzalanmas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 ilgili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m belgeleri kontrol eder.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 haz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rlama ve kontrol etme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revleri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ide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emez. Bu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tek personel bulunan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klerde uygulanmaz.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lemde eksiklik ve yanl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bulunmuyorsa, kontrol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revini yapan, istem belgesinin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kontrol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yazarak imzalar,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lemde eksiklik veya yanl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tespit edilmi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ise, bunlar giderilmeden imza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ilmez.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stem sahibi belgeyi, "okudum" ibaresini yazarak imzalar.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belgesi,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veya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revlisi ile belgeyi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zenleyen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revlisi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imzalanarak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onan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belgesinde silinti, kaz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lamaz. 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Yevmiye defterine kay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Yevmiye defterine, tapu sicili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gerektiren veya reddedilen istemler kaydedilir. Tapu sicili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birbirlerine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bu deftere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tarih ve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gelen istemler;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zenlenmesi gereken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lemlerde usul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uygun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zenlenerek taraflarca imzalanmas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zenlenmesi gerekmeyen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lemlerde istem belgesinin imzalanmas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c)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kurumlara ait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sonra yevmiye defterine kaydedilir.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lastRenderedPageBreak/>
        <w:t>(3) Yevmiye defterine;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lemin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saat ve dakikas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istemde bulunan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istemin niteli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i, isteme konu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 veya mahalle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cilt ve sayfa numaralar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 haz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rlayan, kontrol eden ve onaylayan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Yevmiye defteri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her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tarih 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sonunda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imzalan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Yevmiye defteri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olmad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nlerde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Yevmiye defterine her sene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nda, birden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layan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(6)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karken veya izin ve rapor gibi nedenlerle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revinden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rken yetki verdi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memuru yevmiye defterine yazar ve imza eder.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nce,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yine yevmiye defterine yazar ve imza eder.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 bulundurulmas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gereken h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lemlerinde, istem sahiplerinden biri veya birka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imza atamamas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 okuma ve yazma bilmemesi, kimliklerinde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pheye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lmesi,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nceye kadar bakma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mesi ile mevzuat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llerde iki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bulundurulur.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sahibinin,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itme, konu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 veya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rme engelli olmas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 iste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iki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huzurunda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Engellinin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istememesi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bu husus istem belgesinde veya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senette belirtilir.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lgilinin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itme veya konu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 engelli olmas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anla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 imk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da bulunmamas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aret dilinden anlayan yeminli bilirki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bulundurulur.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sahiplerinden biri veya birka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bilmemesi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yeminli terc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man bulundurulur.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Yeminli terc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man ve bilirki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inin, 12/1/2011 tarih ve 6100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Hukuk Muhakemeleri Kanununa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mahkeme huzurunda yapt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yemine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tutana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ibraz etmeleri gerekir.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klar, bilirki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ve terc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man da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veya istem belgesini imzalarlar.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senede veya istem belgesine,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bilirki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ve terc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yerle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 yeri ve kimlik bilgileri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bilirki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ve terc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okuma yazma bilmesi ve fiil ehliyetine sahip olmas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 yapanlar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ve terc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yapamazlar.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mza bilmeyenin 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areti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sahiplerinden biri veya birka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imza bilmiyorsa, sol elin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parma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yoksa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elin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parma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 da yoksa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parmaklardan biri ilgili belgeye bast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Sol el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parma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bir parmak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sa, hangi parma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bast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parma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da bast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klar,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parmak izini onaylarlar.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stemin reddedilmesi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Mevzuat ve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kte yer alan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mlere uygun olmayan ve 4721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Kanunun 1011 inci maddesine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ici tescil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erhine de imk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bulunmayan istemler geciktirilmeden, gerek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esi, itiraz yeri ve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resi de belirtilmek suretiyle reddedilir.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Ret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varl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narak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tununda belirtilir.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stemin reddi halinde, ret gerek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esi giderilmeden reddin konusu tapu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Ret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istem sahibine elden veya 11/2/1959 tarih ve 7201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Tebligat Kanunu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tebli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Ret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na, tebli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tarihinden itibaren onbe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ne,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da tebli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tarihinden itibaren onbe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itiraz edilebilir.</w:t>
      </w:r>
    </w:p>
    <w:p w:rsidR="00FE3A4E" w:rsidRPr="00FE3A4E" w:rsidRDefault="00FE3A4E" w:rsidP="00FE3A4E">
      <w:pPr>
        <w:spacing w:before="56" w:after="0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0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lkiyet Hakk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ve 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Ayn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Haklar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Tescili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Tescilin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stem, yevmiye defterine kaydedildikten sonra,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tescil edilir. Tescil, siyah veya mavi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rekkepli kalemle ve kitap harfleriyle okunakl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ekilde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kaz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 silinti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lkiyet hakk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tescili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malik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tunundaki devreden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baba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edinme nedeni,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rekkepli kalemle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izilir ve yine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rekkepli kalemle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Malik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tununun ilk be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yeni malikin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baba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edinme nedeni,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ilerin unvan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tam olarak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Payl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lkiyette pay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; payda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baba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sonraki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mda, kesirli olarak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Bir payda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sonradan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 bir paya sahip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u takdirde, paylar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herhangi bir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tlama bulunmamas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tescili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paylar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tlaman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terkin edilmesi durumunda, paylar re'sen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tirilerek edinme sebebi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pay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tirmesi ifadesi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Elbirli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lkiyette elbirli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ini do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uran neden, malik adlar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ortak paranteze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sonra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(6)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malike ait birden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ok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birbirine biti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 olmasa da, malikin istemiyle TAKB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kaydedilerek,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sayfa numaralar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Bu durumda,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lastRenderedPageBreak/>
        <w:t>kaydedilen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zerinde, herhangi bir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lamaz.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nmazlar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mevcut hak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nakledilir.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Ortakla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a kullan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lan yerlerin tescili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Sosyal tesis, ticar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mahal,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zme havuzu, tenis kortu gibi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veya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 ortakla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ise, malik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yararlanan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ada ve parsel veya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numaralar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Ortakla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yerler, yararlanan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nmazlarla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ada ve parsel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erisinde olabilece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gibi, ortak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ada ve parsellerde de bulunabilir.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Yararlanan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tununa, ortakla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n, hangi ada ve parsel veya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 ortak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Ortakla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yerler, kanun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istisnalar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nda, yararlanan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maliklerinin birlikte istemleri olmadan payl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lemez.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rtifak haklar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ve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 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tescili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tescil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irtifak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ilgili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kellefiyet anlam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gelen "m" harfi ile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 Hak sahibinin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idi belirtilerek ve varsa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resi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tescil edilir. Bu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tescilinde,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ca her bir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"a" harfinden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 alfabenin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m harfleri (a, b, c,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 ... g,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 ...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i, j... gibi)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lehine kurulan irtifak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lehine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kurulan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hak anlam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gelen "h" harfi ile aleyhine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kurulan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ise, "m" harfi ile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 Yararlanan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tununda,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tescil edilecek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belirtilir.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ise, yararlanan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lehine kurulan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tescil edilir.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lehine kurulacak irtifak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plan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da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tescil edilir. Hak sahibi ve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ymeti belirtilir. Belirli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lehine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konusu ise,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zamanda yararlanan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irtifak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niteli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de belirtilerek tescil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ve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rekli irtifak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ise,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en son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tescil edilir,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Rehin haklar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tescili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rehni,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ilgili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ekilde tescil edilir: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Her bir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in, "A" harfinden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 alfabenin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m harfleri (A, B, C,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 ... G,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,... I,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J... gibi)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Tescilde, ipotek "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",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"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.B.S.", irat senedi "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.S." harfleriyle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c)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baba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inin unvan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tam olarak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r,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hamiline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 bu durum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Rehin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varsa faiz oran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rehin derecesi, rehin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resi ile tescil tarihi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Faiz oran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ken ise,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belirtilir. Rehin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terkini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sonraki ilk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undaki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artlarda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ait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meler, alaca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smen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istemler, 11/1/2011 tarih ve 6098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lar Kanununun 183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lacak alaca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devri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meleri ve benzerleri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alan dereceye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veren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meler,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terek rehnin tescili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Birden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ok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alacak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rehnedilmesi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tescil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r;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malike ait birden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ok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veya pay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alacak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rehin edilirse; ilgili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rehin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alacak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tescil edilmekle birlikte,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hangi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nmazlarla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rehinli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tereken ve/veya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teselsilen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lu kimselere ait birden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ok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veya pay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alacak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rehin edilirse; ilgili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rehin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alacak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tescil edilmekle birlikte,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hangi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nmazlarla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rehinli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c)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ve/veya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teselsil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durumu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konusu olmaks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alacak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in birden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ok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iye ait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veya pay rehnedilirse;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veya paylardan her birinin bu alaca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belli bir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in rehin edilmesi gerekir.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lgili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rehin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tununa, rehin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nmaza isabet eden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tescil edilir. Her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veya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ne miktar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rehnedildi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belirtilmezse istem reddedilir.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Bir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28 inci maddenin alt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ince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turulan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kaydedilen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kapsamad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a, bu sayfaya tescil olunamaz.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konusu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tescilli bulunan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nmazlardan baz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kapsamakta ise, rehin kapsam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kalan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 dikkate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nmak suretiyle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re'sen nakledilir.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Payl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lkiyete konu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nmazlarda pay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rehni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33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Payl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lkiyete konu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nmazlarda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rehnedilmesi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hangi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rehinli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nmaz, paylara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rehnedilemeyece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gibi, bir payda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da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nerek rehnedilemez.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(3) Pay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rehin kurulduktan sonra, payda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rehnedemezler.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Elbirli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lkiyeti, payl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lkiyete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evrilmeden herhangi bir orta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rehnedilmez.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Korunmu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miktar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Sonradan kurulacak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derece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lmak istenirse, rehindeki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ekle uyulmak kayd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yla,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rehin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"korunmu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miktar" ibaresi ve alacak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da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Faiz ve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ddet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tunu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Rehin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tunundaki rehinle ilgili belirtmeler, rehin hangi harf ile tescil edilmi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ise, o harf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rehin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birden fazla belirtme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de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harf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Rehinli pay devredilirse,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tunundaki eski malikin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izilip, devir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lemine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tarih ve yevmiye ile rehne ait harf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lmak suretiyle yeni malikin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Rehnin terkini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tunundaki rehne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belirtmeler ve varsa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alan dereceye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 de terkin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Zanaatk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rlar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klenicilerin kanun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ipoteklerinin tescilinde,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tununa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zanaatk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klenici ipote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Tescilin kontrol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veya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revlisi, tescil kontrol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yapar. Tescil ve tescili kontrol etme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revleri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ide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emez. Bu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tek personel bulunan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klerde uygulanmaz.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Tescilde eksiklik ve yanl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bulunmuyorsa, kontrol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revini yapan, istem belgesinin ilgili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"tescil kontrol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" ibaresiyle birlikte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yazarak imzalar.</w:t>
      </w:r>
    </w:p>
    <w:p w:rsidR="00FE3A4E" w:rsidRPr="00FE3A4E" w:rsidRDefault="00FE3A4E" w:rsidP="00FE3A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Senedi,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rat Senedi ve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 Kar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E3A4E" w:rsidRPr="00FE3A4E" w:rsidRDefault="00FE3A4E" w:rsidP="00FE3A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sterilerek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lan Senetler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erleme yap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ve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 de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erleme komisyonu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veya irat senedi yoluyla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kurulmas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rehin konusu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komisyon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tespit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erleme komisyonu;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nda, kadastro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nden varsa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hendis yoksa kontrol memuru, defterdarl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veya malm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nden bir temsilci, ilgisine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belediye enc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meni veya il veya il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idare kurulu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belirlenecek bir teknik eleman,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tespit edilecek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arazisi ise 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nce, konut veya arsa ise ticaret veya sanayi odas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ndan belirlenecek bir teknik eleman olmak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 be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iden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(3) Komisyon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yeleri,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talebi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 ilgili idarelerce yedi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erisinde belirlenerek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bildirilir. Komisyon;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yelere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bildirece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yer,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ve saatte,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toplan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 ve salt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unlukla alaca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kararla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belirler. Karara kat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lmayan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ye kat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lmama gerek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esini yazmak zorundad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(4) Komisyon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yelerine,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acaklar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denir. Bu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cret, 10/2/1954 tarih ve 6245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Harc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rah Kanununun birinci derecedeki memurlara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ndan fazla olmamak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er tespitiyle ilgili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cret, ke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if ve inceleme giderleri ilgililer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(6)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yetki alan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ndaki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nmaza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nelik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veya irat senedi kurulmas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talep edilirse,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tespiti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senedi 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in de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 tespiti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eri;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Cinsi,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c) Emlak vergisi beyan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Varsa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makamlarca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takdiri,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d) Getirece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gelir,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e) Arsa ve arazilerde emsal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erleri,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f) Binalarda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maliyet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pranma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g)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erini etkileyecek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nitelikleri,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esas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narak bir rapora dayal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tespit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komisyon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tespit edilmi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erini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miktar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yoluyla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kurulamaz.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rat senedi 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in de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 tespiti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rat senedi, 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m arazisi, binalar veya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bina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labilecek arsalar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kurulur.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rat senedindeki alacak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; irat senedi 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m arazisi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kurulacaksa, arazinin gelir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erinin, bina veya arsa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kurulacaksa gelir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ile bina veya arsan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rayi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ortalamas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Gelir de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erinin tespit edilmesi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arazisinin gelir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eri,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ola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kira ile ortalama kira bedeli toplam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(10) rakam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elde edilecek tutard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Ola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kira, araziyi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leten kimsenin emek ve masraf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makul bir kazan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elde etmesine elveri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 olan kirad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Ortalama kira,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belirlenecek arazinin geriye do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ru on senelik getirdi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kira toplam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onda biridir.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Gelir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tespit edilecek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kiraya verilmemi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olur ve bulundu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 veya civar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lgelerde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rma yoluyla ola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ve ortalama kiray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da belirleme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olmaz ise, genel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bulunur.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lat ortalamas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nda, on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lda getirdi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lat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gerektirdi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masraf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p, kalan net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lat kabul edilerek on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toplam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gelir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kabul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senedi veya irat senedinin 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zenlenmesi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 irat senedi nama veya hamile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zenlenebilir. Bu senetler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maliki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da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 irat senedinin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ekli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Bu senetlerde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n; il ve il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esi, mahallesi veya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pafta, ada ve parsel numaralar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cinsi, cilt ve sayfa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tespit edilen resmi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eri,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ilgili bilgiler ve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tlamalar yer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Bir senet iptal edilip de yerine yeniden senet verildi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inde, yeni senette eski senedin yerine verildi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 irat senedi,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maliki ve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lu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birlikte imzalan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 irat senedi tapu siciliyle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larak, kapsam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ine uygun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takdirde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ile defterdar veya malm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veya irat senedi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zenlenirken,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lu ve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malikinin birlikte ortak bir temsilci atamalar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halinde temsilcinin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veya irat senedinde ve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(8)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r,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lunun ve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malikinin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istemiyle senedi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ya veya temsilcisine teslim eder.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Birden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ok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tlanmas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nda senetler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alacak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malike veya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ve/veya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teselsil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lu olan kimselere ait birden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ok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veya irat senedi kurulursa tek bir senet verilir.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alacak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in birden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ok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iye ait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veya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durumu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konusu olmaks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veya irat senedi kurulursa,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tlayan her alacak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 verilir.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Rehin kapsam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na sonradan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 ilavesi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Bir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senedinin ve irat senedinin kurulmas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sonra,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kaca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dahil edilmesi, bu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mdeki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senedi ve irat senedi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zerinde yap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lacak de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iklikler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 irat senedi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tirilmesi taraflar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senetlerin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verilmesi ile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labilir. Anla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 olmazsa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olmadan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iklikler, senetler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 de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lmak suretiyle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ile defterdar veya malm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Seri halinde senet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4721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Kanunun 931 inci maddesi uyar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nca seri halinde senet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rsa, rehinle ilgili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lemlerden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ka,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senetlerin adedi,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rehin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ait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Tahvilleri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vence alt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na almak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ipotekli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irat senetleri, rehin olarak tescil edilirken, tahvillerin nama veya hamiline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ca belirtilir. Tahvillerin adet ve niteli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ile varsa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luyu temsil eden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rehin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ait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belirtilir.</w:t>
      </w:r>
    </w:p>
    <w:p w:rsidR="00FE3A4E" w:rsidRPr="00FE3A4E" w:rsidRDefault="00FE3A4E" w:rsidP="00FE3A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erhler ve Beyanlar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erhler 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tunu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haklar, tasarruf yetkisini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tlayan veya yasaklayan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erhler,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ici tescil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erhleri ile kanunlarda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hususlar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isel haklar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erhi 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in aranacak belgeler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kayd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 birlikte kurulan gerial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 birlikte kurulan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layana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rehinle birlikte kurulan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alan dereceye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vaadi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lastRenderedPageBreak/>
        <w:t>b)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mesinden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zenlenen gerial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mesinden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layana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rehinden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zenlenen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alan dereceye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noterce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c)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vaadi,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 vaadi ve arsa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aat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noterce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meden do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kiralar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Tasarruf yetkisini 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tlayan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erhler 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in aranacak belgeler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Tasarruf yetkisini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tlayan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erhler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Haciz ve ihtiyati haciz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yetkili merciin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Devretmekle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nmiras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atama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vasiyetnamenin onayl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eren mahkeme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meli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llerde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Kanunlar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erh verilmesini 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llerde kanunda belirtilen belgeler,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Tasarruf hakk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yasaklayan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erhler 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in aranacak belgeler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Tasarruf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yasaklayan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erhler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htiyat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tedbir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Kamu haczi, iflas veya konkordato ile verilen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renin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yetkili merciin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c) Aile konutu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merkezi 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fus idaresi sisteminden veya 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fus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nden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nan yerle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im yeri belgesi ile medeni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sterir 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fus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) Aile yurdu kurulmas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lerden birinin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tasarruf yetkisinin kald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e) Kanunlar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yasaklay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erh verilmesini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llerde kanunda belirtilen belgeler,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ici tescil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erhi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ddia edilen bir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vence alt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gerekti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veya tasarruf yetkisini belirleyen belgelerdeki eksikliklerin sonradan tamamlanmas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kanunun olanak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llerde,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ilgililerin istemi veya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kim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ici tescil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 verilebilir.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erhin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erhler,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tuna, konusu,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resi,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varsa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sterilerek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r, terkini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sonraki ilk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ici tescil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erhleri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G.T.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harfleriyle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 Kesin tescil, terkin olunacak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ici tescil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erhinin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erhle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devre konu olursa, varsa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tunundaki eski malikin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izilip,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erhin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tirilmeksizin, devir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lemine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yeni malikin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Beyanlar 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tununda belirtme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tununa, mevzuat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hususlar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belirtilerek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Tescil,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iklik, terkin veya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zeltmeyi yolsuz duruma getiren hukuk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teknik sebeplerin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tespiti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bu husus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re'sen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Eklentilerin yaz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Eklentiler,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sahibinin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istemi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sahibinin dilek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esinde eklentinin adedi, cinsi ve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ymeti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23/6/1965 tarih ve 634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Kat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lkiyeti Kanununun eklentiye dair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Kurulmalar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art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 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olmayan ayn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haklar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yaz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4721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kurulmalar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art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olmayan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haklar, ilgili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Bu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tasarruf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lemleri,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ve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rekli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usul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bidir.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Vesayet kararlar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yaz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55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n, hak sahibinin vesayet alt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veya vesayetin kald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dair mahkeme kararlar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bilgisi olursa, bu durum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Zanaatk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rlar veya 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klenicilerin 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 ba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lama tarihinin yaz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56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 tarihi, hak sahibi, zanaatk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veya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klenicinin bildirimi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tununa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SEK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nmesi, Birle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tirilmesi, Taksimi ve Kay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57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nmesi sonucunda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her yeni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bir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tescil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Yararlanan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 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nden irtifak haklar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58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yararlanan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nmesi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kural olarak,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her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yarar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devam eder. Ancak bu haktan bir veya birden fazla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yararlan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yorsa,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maliki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nmazlardan terkinini isteyebilir.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bu istemi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sahibine bildirir ve bildirim tarihinden itibaren bir ay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 itiraz edilmezse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terkin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 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nden irtifak haklar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59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nmesi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kural olarak,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her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devam eder. Ancak,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belirli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nmazlar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lmazsa, bu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maliklerinden her biri kendi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terkinini isteyebilir.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bu istemi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sahibine bildirir ve bildirim tarihinden itibaren bir ay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 itiraz edilmezse irtifak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terkin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nmesinde rehnin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veya payla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60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nmesinde, rehin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yeni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aynen nakledilir. Bu durumda, yeni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tununda, rehinlerin birbirleriyle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belirtilir ve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nmesi ile rehnin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 hemen bildirilir.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nmesi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nda, rehnin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par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ymeti oran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veya farkl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oranlarda payla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istenilirse; taraflar 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varsa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mlerine, rehin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ise bu onaya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rehin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nmazlara nakledilir.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nme yolu ile taksimde rehnin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Payl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lkiyete konu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payda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biri veya birka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pay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rehin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olup da, bu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nerek taksimi istenilirse, rehin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Rehin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onay vermezse, istemde bulunan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mahkemeden alaca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karara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sonucu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 hemen bildirilir.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Payda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lar, rehin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hukuk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kabul ederek rehnin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 sonucunda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acak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rehin olarak aynen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onay verirlerse, bu duruma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Aynen taksimde rehin hakk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hissedarlara ait birden fazla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ve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teselsil rehinli olup,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konusu olmaks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taksim edilir ise, rehin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nmazlar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gibi korunur,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lemin sonucu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ya hemen bildirilir,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hissedarlara ait birden fazla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ve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teselsil sorumlu olmaks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rehinli olup, aynen taksimi istenirse, rehin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Rehin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onay vermezse, istemde bulunan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mahkemeden alaca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karara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sonucu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 hemen bildirilir.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Hissedarlar, rehin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hukuk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kabul ederek rehnin aynen taksim sonucunda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acak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terek rehin olarak aynen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onay verirlerse, bu duruma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Yararlanan ve 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63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Yararlanan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nmesinde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mevcut hak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kler,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yeni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aynen nakledilir ve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ndaki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erhler ve beyanlar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64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nmesinde,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 ve beyan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aynen nakledilerek 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 veya beyan kayd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hangi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devam etti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hukuken ve teknik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dan belirlenebiliyorsa, kayd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sadece o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nmaza nakledilmesiyle yetinilir.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nme yolu ile taksiminde,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erhler ve beyanlar 60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61 inci madde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nca nakledilir.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Yeni parsel olu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umunu gerektirmeyen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nmelerde haklar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durumu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65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kamula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rma nedeniyle,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klerin aktar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gerek olmaks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bir par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sicilden terkini gerekiyor ise,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gibi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par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rma tarihi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rma nedeni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 ve miktar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lemin sonucu,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kteki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hak sahiplerine ve kamula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yapan idareye bildirilir.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Malikin istemiyle kamuya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alanlara terk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ise,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kteki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hak sahiplerinin onay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Birle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tirme ve haklar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66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 maliklere ait birbirine biti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tirilmesi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tirilecek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haklar ile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erhedilmi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haklar var ise,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hak sahiplerinin onay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malike ait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olmayan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ile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tirilmesi istenildi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inde, hak sahiplerinin onay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lacak planlarla yola cepheli duruma gelen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nmazlar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it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tirme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leminde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it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lehtar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aranmaz. 4721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Kanunun 1026 nc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nca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malikinin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lastRenderedPageBreak/>
        <w:t>istemine istinaden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tirme sonucu yola cepheli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 gelen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lehine olan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it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terkin edilir ve ge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it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lehtar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hemen bildirilir.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tirilen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nmazlar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hak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kler, yeni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aynen nakledilir. Nakledilen haklar ve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klerin payda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lardan hangisine ait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da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ca belirtilir ve eski sayfalar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Sayfa kapat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ve yeni sayfa 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67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nme, birle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tirme,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kayd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terkini ve aktar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Bunun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"Sayfa No"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tunu sol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eden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apraz tek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izgiyle, "M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lkiyet"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maliklerden sonra gelen ilk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 da yatay olmak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rekkepli kalemle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ift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izgi ile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izilir.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 nedeni yine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rekkepli kalemle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klanarak,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 ilgili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birlikte varsa ek sayfalar da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ekilde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nmaza ait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pranma veya kopma gibi nedenlerle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 veya okunamaz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 gelirse, re'sen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yeni sayfa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lan sayfa ve sayfalar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zerindeki terkin edilmemi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haklar ve beyanlar,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yeni sayfaya kendi tarih ve yevmiye numaralar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tirilmeden aynen nakledilir.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lan sayfa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Kat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lkiyeti veya kat irtifak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bi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tescilinde ve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 kapat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634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Ek sayfa 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68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Bir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herhangi birisinin dolmas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ilgili mahalle veya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son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nde ilk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sayfa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sayfan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numara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tunundaki ek sayfa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ek sayfalarda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niteli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belirtilmez.</w:t>
      </w:r>
    </w:p>
    <w:p w:rsidR="00FE3A4E" w:rsidRPr="00FE3A4E" w:rsidRDefault="00FE3A4E" w:rsidP="00FE3A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DOKUZUNCU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Terkin, De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iklik ve 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zeltmeler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Terkin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69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sicilinde terkin, tescilin kendisine hak sa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kimsenin istemine ya da yetkili makam veya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istinaden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terkininde, tescil istemleriyle ilgili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Kanunda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sterilen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ller ile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erhedilmi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haklarda ve tescil edilmi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lehine veya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irtifak haklar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belli bir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konusu ise, bu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renin dolmas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malikinin istemi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 terkin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Bir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veya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erhedilmi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sebeplere dayal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olarak sona ermesiyle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hukuk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erini kaybetti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takdirde,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 maliki, terkini isteyebilir.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bu istemi yerine getirirse her ilgili, bu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lemin kendisine tebli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tarihinden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layarak otuz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 terkine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dava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abilir.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21/7/1953 tarih ve 6183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nca takip edilen kamu alacaklar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haciz, iflas, konkordato ile verilen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ve 9/6/1932 tarih ve 2004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cra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flas Kanununun 150/c maddesi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erhi bulunan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nmazlar hari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zere, tapu siciline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erhten itibaren iki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renin sonunda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yenilendi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bildirilmemi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olan hacizler,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nmaz malikinin istemi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 terkin edilir ve durum icra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Terkinin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70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sicili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lacak terkinler, terkin edilecek hakla ilgili kayd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zerinin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rekkepli kalemle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izilmesi ve alt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ndaki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 yine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rekkepli kalemle "terkin edildi" ibaresi ile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veya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revlisinin imzalamas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yla olur.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tescilinde harf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ise, terkininde de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harf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senedi ve irat senedinin iptali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veya irat senedinin iptali,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rekkepli kalemle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apraz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izgi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ekilmek ve terkin edildi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hususu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lmak, terkine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belirtilmek ve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imzalanmak suretiyle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potekli bor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senedi veya irat senedi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pranm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okunamayacak hale gelmi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ise,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usulle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 iptal nedeni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ktan sonra iptal edilip, yeniden verilme nedeni belirtilmek suretiyle yeni senet verilir. Yeni senet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ile defterdar veya malm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ptal edilen senetler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ait dosyada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Kayd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sicilinde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iklik, hak sahibinin istemine ya da yetkili makam veya mahkeme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istinaden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Tapu sicilindeki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iklikler,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zerinin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rekkepli kalemle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izilip,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iklik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yla yeni kayd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suretiyle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nceki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bir harfle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ise,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iklikte de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harf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Rehinli alaca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smen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denmesi veya rehnin miktar, faiz, derece,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gibi unsurlar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iklikler,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ilgili rehnin harfi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lmak suretiyle belirtilir.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Rehinli alaca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devri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73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Rehinli alaca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devri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linde;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sayfas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ilgili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eski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baba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rekkepli kalemle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izilir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ncelere bak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anlam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gelen "D.B." harfleri,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nceler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da rehinle ilgili harfle yeni alacakl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baba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leme ait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Ana veya yard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siciller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zerindeki 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zeltmeler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74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yevmiye defteri ve yard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sicillerde, belgelere ayk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basit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hatas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tespit edilmesi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nedeni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zeltmeler sicilinde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klanarak, re'sen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stem belgesinde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yanl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veya eksiklik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zeltilerek belgenin uygun bir yerine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lmak suretiyle taraflar ve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revlilerince imzalan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sicilde buna uygun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Ana veya yard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siciller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zerinde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hata veya eksikliklerin, ilgililerce sunulan veya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 idarelerce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zenlenen belgelerden kaynaklanmas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ilgililerin ger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 durumu kan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tlay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belgelere dayal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zerine, istem yevmiye defterine kaydedilerek gerekli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yevmiye defteri ve yard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sicillerde, belgelere ayk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tescil veya esasl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hatas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zeltilebilmesi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ilgililerin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olurunun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gerekir.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lgililerden birisinin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oluru olmazsa, bu durum beyanlar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tununda belirtilerek, 26/9/2011 tarih ve 659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nde Kararname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(5)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lacak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zeltmeler hatal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mdan sonra hak sahibi olmu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ilerin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etkileyici nitelikte ise, bu hak sahiplerinin de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olurlar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(6)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ilgililerin bilgisi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yapt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lemleri tebli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etmekle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Tapu sicilindeki bilgilerin g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ncellenmesi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75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Kadastro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kaynaklanan malikin veya hak sahibinin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baba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tapu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ndeki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 hatalar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ilgilisinin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zerine;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a) Senetsizden tespitlerde; 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fus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ve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belediye veya muhtarl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ktan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nacak foto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rafl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haber,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b) Kayda dayal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tespitlerde; dayana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ve belgeler,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incelenmek ve gerekti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 tan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ve varsa tespit bilirki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ileri dinlemek ve zeminde inceleme yapmak suretiyle istemin ger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 hak sahibinden geldi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belirlenirse, istem yevmiye defterine kaydedilerek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Zeminde inceleme, kadastro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teknik personeli ile birlikte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 inceleme neticesinde teknik rapor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zenlenir. Zeminde incelemede, kom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parsel malikleri, muhtar ve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ilgililer dinlenir; vergi kayd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er her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bilgi ve belgeden yararlan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Tapu sicilindeki bilgilerin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ncellenmesi ve eksikliklerin giderilmesinde de yukar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kralar uygulan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(4) Bu madde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nca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zeltmeleri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klere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zeltmenin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76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(1) Yanl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m okunacak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ekilde,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rekkepli kalemle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izilir ve ilk bo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 do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rusu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Kaz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silinti, sat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veya sayfa kenar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kayda ek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lmak suretiyle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(3) Yevmiye defterine kaydedilerek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zeltmelerde tarih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zeltmeler siciline kaydedilerek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lanlarda ise, bu sicilin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zeltilen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lemin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D.S.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eklinde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layarak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 ile ilgili belgeler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nmaza ait dosyada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ONUNCU B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3A4E" w:rsidRPr="00FE3A4E" w:rsidRDefault="00FE3A4E" w:rsidP="00FE3A4E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Yard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Siciller, Sicillerin 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ivlenmesi ve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itli H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Aziller sicili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77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Vek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letten aziller, vek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let verenlerin ad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harfleri ve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rkiye Cumhuriyeti kimlik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re, her harf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sicilde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Azil belgesi geldi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veya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tapu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revlisi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zerine al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tarih, saat ve dakika hemen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larak, aziller siciline kaydedilir.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zeltmeler sicili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78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Yevmiye defterine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gerekmeyen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zeltmelerin sebebi,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zeltmeler siciline kaydedilir.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Kamu orta mallar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sicili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79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Mera, yaylak,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lak, otlak, harman ve panay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yerleri gibi kamu orta mallar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siciline kaydedilir ve hangi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 veya belediyeye tahsisli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u belirtilir.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lgili belgeler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dosyas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Tapu envanter defteri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80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kte bulunan 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zab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defteri, yevmiye defteri ve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 ciltleri ile yard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siciller tapu envanter defterine kaydedilir.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dar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rlar kay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 defteri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Yetkili mercilerce tespit edilen idar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rlarla ilgili kararlar ve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idar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rlar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 defterine kaydedilir ve belgeleri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dosyas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Sicillerin korunmas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ve senetlerin 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ivlenmesi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kte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ana ve yard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siciller ile idar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rlar kay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t defteri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lastRenderedPageBreak/>
        <w:t>(2)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senetler her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 tarih ve yevmiye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yla ciltlenerek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Belgelerin 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ivlenmesi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83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ivlenecek belgelerin tespiti, elektronik ortamda 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ivlenmesi, 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ivlemenin usul ve esaslar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Hangi belgelerin imha edilebilece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ve imha edilme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releri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Sicillerin 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 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84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sicilleri,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birimleri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Devlete, ger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ilere ait bir hizmetin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lmesi, bir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ispat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inde, onayl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rnekleri verilir. Ancak, mahkemeler veya yetkili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merciiler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sicil veya belgelerin asl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istenildi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 takdirde,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rnekleri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ndan tasdik edilip, iade edilmek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zere imza kar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verilir. Onayl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rnek belgeler, 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iade edilene kadar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Belge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rnekleri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85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lemleri ile ilgili olarak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zenlenen istem belgesi,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senet, tapu senedi ve ipotek belgelerinin birer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i,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hak sahiplerine verilir.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lgilisinin istemi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linde, tapu sicilini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turan di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er bilgi ve belgelerin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 verilir.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Belgelerin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86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Tapu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lemlerinde 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lacak  belgelerin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ekilleri, Genel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Sicillerin onanmas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87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k, yevmiye defteri ve yard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siciller kullan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nce, birbirini takip eden sayfa numaralar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verilerek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ka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sayfadan ibaret oldu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 son sayfaya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p tarih, imza ve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rle onan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r, sayfa aralar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da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rlenir. Kadastro 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turulan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klerin onama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 kadastro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Belgelerin elden takibi ve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88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Kamu kurum ve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kamu kurumu niteli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, mahkemeler, icra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kleri, bankalar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hukuk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ileri taraf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zenlenen ayn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ki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isel hakk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sona erdirecek nitelikteki belgeler, tapu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lemi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elden ibraz edilemez. Bu belgeler 7201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re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klere tebli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kra gere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ince, tapu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lemlerine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nelik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zenlenen belgelerde silinti, kaz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89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kin hususlar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netmelikle 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lan h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90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18/5/1994 tarihli ve 94/5623 say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konulan Tapu Sicili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Kadastrosu yap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yerlerdeki ta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n tescili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Hen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 kadastrosu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yerlerde 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yerine zab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defteri veya kat 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lkiyeti zab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 defteri tutulur.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hudut kom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ular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g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sterilir. Ta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 varsa resm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haritas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veya plan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dosyas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nda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Kadastrosu yap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lmam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yerlerde ar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iv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Kadastrosu yap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yerlerde, her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leme ait belgeler, o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bir dosya 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zeri tarih, 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ra ve yevmiye numaras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larak saklan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lemlere ait dosyalar ayr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ca ayl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olarak ar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ivlenir.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91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Dan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tayca incelenmi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olan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yay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FE3A4E" w:rsidRPr="00FE3A4E" w:rsidRDefault="00FE3A4E" w:rsidP="00FE3A4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92 </w:t>
      </w:r>
      <w:r w:rsidRPr="00FE3A4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 xml:space="preserve"> (1) Bu 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 h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mlerini Bakanlar Kurulu y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3A4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3A4E" w:rsidRPr="003B147D" w:rsidRDefault="00FE3A4E" w:rsidP="00FE3A4E">
      <w:pPr>
        <w:tabs>
          <w:tab w:val="left" w:pos="566"/>
          <w:tab w:val="center" w:pos="3543"/>
        </w:tabs>
        <w:spacing w:after="0" w:line="240" w:lineRule="exact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3B147D" w:rsidRDefault="003B147D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3B147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8D" w:rsidRDefault="0033048D" w:rsidP="00CE6B7C">
      <w:pPr>
        <w:spacing w:after="0" w:line="240" w:lineRule="auto"/>
      </w:pPr>
      <w:r>
        <w:separator/>
      </w:r>
    </w:p>
  </w:endnote>
  <w:endnote w:type="continuationSeparator" w:id="0">
    <w:p w:rsidR="0033048D" w:rsidRDefault="0033048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4293F">
        <w:pPr>
          <w:pStyle w:val="Altbilgi"/>
          <w:jc w:val="center"/>
        </w:pPr>
        <w:fldSimple w:instr=" PAGE   \* MERGEFORMAT ">
          <w:r w:rsidR="00FE3A4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8D" w:rsidRDefault="0033048D" w:rsidP="00CE6B7C">
      <w:pPr>
        <w:spacing w:after="0" w:line="240" w:lineRule="auto"/>
      </w:pPr>
      <w:r>
        <w:separator/>
      </w:r>
    </w:p>
  </w:footnote>
  <w:footnote w:type="continuationSeparator" w:id="0">
    <w:p w:rsidR="0033048D" w:rsidRDefault="0033048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4329D"/>
    <w:rsid w:val="00152242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048D"/>
    <w:rsid w:val="003320DC"/>
    <w:rsid w:val="003364E7"/>
    <w:rsid w:val="00347531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4293F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420E4"/>
    <w:rsid w:val="0074650B"/>
    <w:rsid w:val="00765CA5"/>
    <w:rsid w:val="007708A4"/>
    <w:rsid w:val="007835EC"/>
    <w:rsid w:val="007C55B8"/>
    <w:rsid w:val="007C6B47"/>
    <w:rsid w:val="007D4F0A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B4B0E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8287</Words>
  <Characters>47238</Characters>
  <Application>Microsoft Office Word</Application>
  <DocSecurity>0</DocSecurity>
  <Lines>393</Lines>
  <Paragraphs>110</Paragraphs>
  <ScaleCrop>false</ScaleCrop>
  <Company>TURMOB</Company>
  <LinksUpToDate>false</LinksUpToDate>
  <CharactersWithSpaces>55415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145</cp:revision>
  <cp:lastPrinted>2013-06-18T05:31:00Z</cp:lastPrinted>
  <dcterms:created xsi:type="dcterms:W3CDTF">2013-06-03T05:31:00Z</dcterms:created>
  <dcterms:modified xsi:type="dcterms:W3CDTF">2013-08-19T05:37:00Z</dcterms:modified>
</cp:coreProperties>
</file>