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5727E1" w:rsidRDefault="00627628" w:rsidP="009D40B9">
      <w:pPr>
        <w:spacing w:after="0" w:line="280" w:lineRule="atLeast"/>
        <w:rPr>
          <w:rFonts w:ascii="Times New Roman" w:hAnsi="Times New Roman" w:cs="Times New Roman"/>
          <w:sz w:val="20"/>
          <w:szCs w:val="20"/>
        </w:rPr>
      </w:pPr>
    </w:p>
    <w:p w:rsidR="000370C9" w:rsidRPr="005727E1" w:rsidRDefault="00B713A8" w:rsidP="009D40B9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</w:t>
      </w:r>
      <w:r w:rsidR="009D40B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Ağustos</w:t>
      </w:r>
      <w:r w:rsidR="00802E28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5727E1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28741</w:t>
      </w:r>
      <w:proofErr w:type="gramEnd"/>
    </w:p>
    <w:p w:rsidR="00E306F9" w:rsidRDefault="00E306F9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p w:rsidR="00853F74" w:rsidRDefault="00853F74" w:rsidP="00853F7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da, Tar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m ve Hayvanc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k Bakanl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ndan: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b/>
          <w:sz w:val="18"/>
          <w:szCs w:val="18"/>
        </w:rPr>
      </w:pPr>
    </w:p>
    <w:p w:rsidR="00853F74" w:rsidRPr="00853F74" w:rsidRDefault="00853F74" w:rsidP="00853F74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Çİ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FTL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K MUHASEBE VER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A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 S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STEM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NE D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H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 OLAN TARIMSAL</w:t>
      </w: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LETMELERE KATILIM DESTE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Ğİ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DEMES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 TEBL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853F74" w:rsidRPr="00853F74" w:rsidRDefault="00853F74" w:rsidP="00853F74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(TEBL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NO: 2013/50)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ç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iftlik Muhasebe Veri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MVA) sistemine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olarak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hil olan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denmesine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iftlik Muhasebe Veri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sisteminin kuruldu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u iller olan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stanbul, Samsun, Malatya, Adana, Konya, Bursa, Erzurum,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urfa, Nev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ehir, Tekirda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, Giresun,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zmir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de,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esas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dayal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olarak sisteme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 2013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lacak olan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demesine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kapsar.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18/4/2006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tarihli ve 5488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Kanununun 19 uncu maddesinin (g) bendi, 22/1/2009 tarihli ve 27118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iftlik Muhasebe Veri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Sisteminin Kurulu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ma Usul ve Esaslar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 15 inci maddesi ile 11/3/2013 tarihli ve 2013/4463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 konulan 2013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lacak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msal Desteklemelere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Karara dayan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 ge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en;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a) Anket formu: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letmelerin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teknik, mal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veya ekonomik bilgilerinin toplanmas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 haz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rlanan, Avrupa Birli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uygulamalar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ile uyumlu soru formunu,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b)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k: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c) Banka: T.C. Ziraat Bankas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A.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.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proofErr w:type="spellStart"/>
      <w:r w:rsidRPr="00853F74">
        <w:rPr>
          <w:rFonts w:ascii="Times New Roman" w:eastAsia="ヒラギノ明朝 Pro W3" w:hAnsi="Times" w:cs="Times New Roman"/>
          <w:sz w:val="18"/>
          <w:szCs w:val="18"/>
        </w:rPr>
        <w:t>yi</w:t>
      </w:r>
      <w:proofErr w:type="spellEnd"/>
      <w:r w:rsidRPr="00853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 Sistemi (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KS):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netmelikle olu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turulan ve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ilerin kimlik, arazi ve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bilgileri ile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desteklemelere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bilgilerin de kay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 alt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veri taban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iftlik Muhasebe Veri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MVA):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letmelerin gelir, gider ve faaliyetlerine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muhasebe verilerinin toplanmas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 depolanmas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 istatistik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de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erlendirmelerinin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yla olu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turulan sistemi,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e)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Anla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: Verilerin,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veri toplama usullerinin uygulanarak toplanaca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aras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bir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reyle imzalanan, her iki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rev ve sorumluluklar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zenleyen ek-1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 yer alan belgeyi,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f)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cmal 1: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rlanan,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detay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hak edi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lerini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steren ve bir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ek-2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 yer alan belgeyi,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cmal 2: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cmal 1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deki bilgilere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 haz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rlanan, il detay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proofErr w:type="spellStart"/>
      <w:r w:rsidRPr="00853F74">
        <w:rPr>
          <w:rFonts w:ascii="Times New Roman" w:eastAsia="ヒラギノ明朝 Pro W3" w:hAnsi="Times" w:cs="Times New Roman"/>
          <w:sz w:val="18"/>
          <w:szCs w:val="18"/>
        </w:rPr>
        <w:t>hakedi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lerini</w:t>
      </w:r>
      <w:proofErr w:type="spell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steren ve bir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ek-3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te yer alan belgeyi,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: 2 </w:t>
      </w:r>
      <w:proofErr w:type="spellStart"/>
      <w:r w:rsidRPr="00853F74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maddede yer alan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klerini,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MVA Komisyonu: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veya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 yard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koordinasyon ve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msal veriler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nde anket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 olarak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revlendirilen bir personelden olu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an ve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letmelerin se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ilmesinden, formlar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erlendirmesinden, ihtilaflar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incelenerek sonu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ndan, gerekli durumlarda ihtilaflar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 Merkez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MVA Komisyonuna iletilmesinden,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demeye esas icmallerin onaylanmas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sorumlu komisyonu,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koordinat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: Sistemin kuruldu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u illerdeki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koordinasyon ve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msal veriler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ube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letme: Yasal durumu ne olursa olsun, sahip oldu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u, ortak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k, yar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k ya da kiralama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eklinde tuttu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u arazide kendi ad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na bitkisel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retim, 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üçü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hayvan yeti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i, b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hayvan yeti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tiricili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i, 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mes hayvanc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 ipek b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cek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i, 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k yapan veya karma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retim yapan 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ik de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er veya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zeri ekonomik b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kteki, tek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netim alt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bulunan ekonomik birimi,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j)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i: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anla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imzalayarak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sistemine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hil olan ve muhasebe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resince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faaliyetlerine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verilerini belirlenen zamanlarda veri toplay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yla payla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an ve verileri Sorumlu Birim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uygulanan testler sonunda do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rulanan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letmelere, her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 belirlenen miktarda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demeyi,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k) Merkez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Komisyonu: Sorumlu Birim b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nyesinde, ilgili daire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nda, di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erleri konusunda deneyimli teknik personel olmak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zere toplam be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an, illerden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nderilen anket formlar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kontrol ve do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rulanmas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ndan ve il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komisyonlar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intikal eden teknik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erikli ve ihtilafl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konular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erlendirilmesinden sorumlu komisyonu,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l) Muhasebe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1/1/2012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 31/12/2012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zaman aral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lastRenderedPageBreak/>
        <w:t>m) Sorumlu Birim: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Reformu Genel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n)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msal faaliyetler: Bitkisel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retim ve/veya hayvansal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retim ve bu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retim sonucu elde edilen mallar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n;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erisinde ilk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leme, koruma ve de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erlendirilmesi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 faaliyetleri,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o) Rehberlik ve Tefti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: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Rehberlik ve Tefti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) Veri toplay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(anket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r):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MVA verilerinin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iden anket formu yoluyla toplanmas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ve kontrol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nden sorumlu, bu konuda sorumlu birimden 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itim alm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olan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teknik personelini,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ifade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eder.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deme yap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lacak tar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letmeler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demeler,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Kay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 Sistemine (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KS) ve /veya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turulan herhangi bir idari kay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 sistemine kay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olup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sistemine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hil olan, bir muhasebe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resince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faaliyetlerine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muhasebe verilerini belirlenen zamanlarda veri toplay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larla payla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an ve verileri Sorumlu Birim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 kontroller sonunda do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rulanan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deme miktar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(1) 5 inci maddede belirtilen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letmelere, 2013/4463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Bakanlar Kurulu Karar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istinaden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ve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lda bir kez olmak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2013 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375 TL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demeler i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in gerekli finansman ve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deme plan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demeleri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 gerekli finansman b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enin ilgili kalemine tahsis edilen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deneklerden kar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demeler,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Bankaya kaynak aktar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teakip,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nce haz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rlanarak onaylanan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cmal 1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re, Banka arac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yla, ilgili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ubelerde daha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nce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iler ad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 veya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lacak olan hesaplara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ilere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lan toplam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 tutar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%0,2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si b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enin ilgili kaleminden Bankaya hizmet komisyonu olarak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revli kurum ve kurulu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demeleri uygulamas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, Sorumlu Birim, Merkez ve il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komisyonlar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ile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Uygulama takvimi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letmelerin bir muhasebe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boyunca ger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tirdi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faaliyetlerine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kin veriler, takip eden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inde anket yoluyla toplan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(2) Her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 sadece bir anket formu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(3) Sorumlu Birim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her bir il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 bildirilen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da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letme il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komisyonlar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 belirlenen se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im plan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 se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ilir. Se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ilen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letmelerle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anla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imzalan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(4)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anla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imzalanan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 anket uygulan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 Anket formlar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nce kontrol edilmelerinin ard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Sorumlu Birime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(5) Anket formlar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Sorumlu Birim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testlere tabi tutularak de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erlendirilir. Sorumlu Birim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anket formlar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rulanan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letmeler, kesin icmalleri 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nmak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zere il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komisyonuna bildirilir.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komisyonlar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nca anket formu do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rulanan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in,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KS sistemi arac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yla,  2013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giri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leri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letmelerin kesin icmalleri 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narak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cmal 2 onaylan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p Sorumlu Birime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(7) Sorumlu Birim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cmal 2 seviyesinde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demeye esas bilgileri Bankaya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nderir.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(8) Yukar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da ge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en 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lemlerin ger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tirilmesi esnas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revlilerce veri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inin sa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yla ilgili esaslara uyulur.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(9) Sorumlu Birimle il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uygulamaya ili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kin koordinasyon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il koordinat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rleri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 Bu kapsamda il 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hilinde formlar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anket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rlere da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ndan, uygulaman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takibinden, doldurulan formlar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merkeze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nderilmesinden ve do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rulama 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recinin tamamlanmas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ndan il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koordinat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rleri sorumludur.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Uygulamalar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n denetimine ili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kin g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rev ve yetkiler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uygulamas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nda, il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komisyonlar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zemedi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ihtilafl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durumlar Merkez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Komisyonu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de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erlendirilerek karara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 Sonu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namayan durumlar Rehberlik ve Tefti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iletilir.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m destek kapsam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d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ışı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nda kalacak tar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letmeler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(1)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daki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letmeler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MVA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 uygulamas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yararlanamaz.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lgili muhasebe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proofErr w:type="spellStart"/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ye</w:t>
      </w:r>
      <w:proofErr w:type="spell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ve/veya Bakanl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olu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turulan herhangi bir idari kay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 sistemine kay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olmayan,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b)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anla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imzalamak suretiyle ba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vuru yapmayan,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c) Verilerini istenen zamanda ve do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ru olarak veri toplay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lar ile payla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mayan,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) Sorumlu Birim taraf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erlendirmeler sonucunda formlar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rulanmayan,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d) Kendi iste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iyle sistemden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kan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msal 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Haks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z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demelerin geri al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nmas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ve hak mahrumiyeti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(1) Haks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 yere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lan destekleme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demeleri,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deme tarihinden itibaren </w:t>
      </w: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21/7/1953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tarihli ve 6183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Amme Alacaklar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Tahsil Usul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 Kanunun 51 inci maddesinde belirtilen gecikme zamm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oranlar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narak hesaplanan kanun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faizi ile birlikte 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lan Kanun h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mlerine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 geri 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 Haks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lastRenderedPageBreak/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demeyi sa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layan, belge veya belgeleri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zenleyen ger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ek ve 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iler, geri al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nacak tutarlar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 tahsilinde 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tereken sorumlu tutulurlar.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(2) Bu Karar kapsam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ndaki destekleme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demelerinden, idari hata sonucu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zenlenen belgelerle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demeler hari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, haks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z yere yararland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tespit edilen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reticiler, be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reyle hi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bir destekleme program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ndan yararland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lmazlar.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lan tebli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ler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daki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ler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r: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2/10/2012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tarihli ve 28429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iftlik Muhasebe Veri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Sistemine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hil Olan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Dair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No: 2012/67),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16/10/2011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tarihli ve 28086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iftlik Muhasebe Veri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Sistemine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hil Olan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Dair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No: 2011/45),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23/9/2010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tarihli ve 27708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iftlik Muhasebe Veri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Sistemine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hil Olan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Dair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No: 2010/43),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proofErr w:type="gramStart"/>
      <w:r w:rsidRPr="00853F74">
        <w:rPr>
          <w:rFonts w:ascii="Times New Roman" w:eastAsia="ヒラギノ明朝 Pro W3" w:hAnsi="Times" w:cs="Times New Roman"/>
          <w:sz w:val="18"/>
          <w:szCs w:val="18"/>
        </w:rPr>
        <w:t>27/3/2009</w:t>
      </w:r>
      <w:proofErr w:type="gramEnd"/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tarihli ve 27182 say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iftlik Muhasebe Veri A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Sistemine D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â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hil Olan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msal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letmelere Kat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Deste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na Dair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No: 2009/35).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yay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853F74" w:rsidRPr="00853F74" w:rsidRDefault="00853F74" w:rsidP="00853F74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853F74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mlerini G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da, Tar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m ve Hayvanc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k Bakan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853F74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853F74" w:rsidRPr="00853F74" w:rsidRDefault="00853F74" w:rsidP="00853F74">
      <w:pPr>
        <w:spacing w:before="100" w:beforeAutospacing="1" w:after="100" w:afterAutospacing="1" w:line="240" w:lineRule="exact"/>
        <w:jc w:val="center"/>
        <w:rPr>
          <w:rFonts w:ascii="Arial" w:eastAsia="Times New Roman" w:hAnsi="Arial" w:cs="Arial"/>
          <w:b/>
          <w:color w:val="000080"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Ek-1</w:t>
      </w: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ÇİFTLİK MUHASEBE VERİ AĞI SİSTEMİNE KATILIM ANLAŞMASI</w:t>
      </w: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Gıda, Tarım ve Hayvancılık Bakanlığı tarafından yürütülmekte olan Çiftlik Muhasebe Veri Ağı Sistemi (ÇMVA) için </w:t>
      </w:r>
      <w:proofErr w:type="gramStart"/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>….</w:t>
      </w:r>
      <w:proofErr w:type="gramEnd"/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proofErr w:type="gramStart"/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>yılı</w:t>
      </w:r>
      <w:proofErr w:type="gramEnd"/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içerisinde uygulanacak olan açılış- kapanış envanteri ve formlarda yer alan soruları kendi rızamla cevaplamayı ve aşağıda belirtilen yükümlükleri yerine getirmeyi kabul ediyorum. </w:t>
      </w:r>
    </w:p>
    <w:p w:rsidR="00853F74" w:rsidRPr="00853F74" w:rsidRDefault="00853F74" w:rsidP="00853F74">
      <w:pPr>
        <w:tabs>
          <w:tab w:val="left" w:pos="684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53F74" w:rsidRPr="00853F74" w:rsidRDefault="00853F74" w:rsidP="00853F74">
      <w:pPr>
        <w:tabs>
          <w:tab w:val="left" w:pos="6840"/>
        </w:tabs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İmza</w:t>
      </w:r>
    </w:p>
    <w:p w:rsidR="00853F74" w:rsidRPr="00853F74" w:rsidRDefault="00853F74" w:rsidP="00853F74">
      <w:pPr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…/…/</w:t>
      </w:r>
      <w:proofErr w:type="gramStart"/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…..</w:t>
      </w:r>
      <w:proofErr w:type="gramEnd"/>
    </w:p>
    <w:p w:rsidR="00853F74" w:rsidRPr="00853F74" w:rsidRDefault="00853F74" w:rsidP="00853F74">
      <w:pPr>
        <w:tabs>
          <w:tab w:val="left" w:pos="684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Çiftçinin Adı: </w:t>
      </w: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Adresi:</w:t>
      </w: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proofErr w:type="gramStart"/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Telefon :</w:t>
      </w:r>
      <w:proofErr w:type="gramEnd"/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T.C. Kimlik No:</w:t>
      </w: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ÇKS işletme </w:t>
      </w:r>
      <w:proofErr w:type="gramStart"/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No:u</w:t>
      </w:r>
      <w:proofErr w:type="gramEnd"/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>Yukarıda kimlik ve adres bilgileri bulunan çiftçinin ÇMVA sistemine kaydı uygun bulunmuştur.</w:t>
      </w:r>
    </w:p>
    <w:p w:rsidR="00853F74" w:rsidRPr="00853F74" w:rsidRDefault="00853F74" w:rsidP="00853F74">
      <w:pPr>
        <w:tabs>
          <w:tab w:val="left" w:pos="8175"/>
          <w:tab w:val="left" w:pos="8250"/>
        </w:tabs>
        <w:spacing w:after="0" w:line="240" w:lineRule="exact"/>
        <w:ind w:left="5664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53F74" w:rsidRPr="00853F74" w:rsidRDefault="00853F74" w:rsidP="00853F74">
      <w:pPr>
        <w:tabs>
          <w:tab w:val="left" w:pos="8175"/>
          <w:tab w:val="left" w:pos="8250"/>
        </w:tabs>
        <w:spacing w:after="0" w:line="240" w:lineRule="exact"/>
        <w:ind w:left="5664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proofErr w:type="gramStart"/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…………</w:t>
      </w:r>
      <w:proofErr w:type="gramEnd"/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İl Müdürü:</w:t>
      </w:r>
    </w:p>
    <w:p w:rsidR="00853F74" w:rsidRPr="00853F74" w:rsidRDefault="00853F74" w:rsidP="00853F74">
      <w:pPr>
        <w:tabs>
          <w:tab w:val="left" w:pos="8175"/>
          <w:tab w:val="left" w:pos="8250"/>
        </w:tabs>
        <w:spacing w:after="0" w:line="240" w:lineRule="exact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…/…/</w:t>
      </w:r>
      <w:proofErr w:type="gramStart"/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……</w:t>
      </w:r>
      <w:proofErr w:type="gramEnd"/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  <w:t>YÜKÜMLÜLÜKLER:</w:t>
      </w: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  <w:t>A) Çiftçilerin Yükümlülüğü:</w:t>
      </w:r>
    </w:p>
    <w:p w:rsidR="00853F74" w:rsidRPr="00853F74" w:rsidRDefault="00853F74" w:rsidP="00853F74">
      <w:pPr>
        <w:numPr>
          <w:ilvl w:val="0"/>
          <w:numId w:val="8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Çalışmanın yapılacağı tarihte işletmede bulunmak, </w:t>
      </w:r>
    </w:p>
    <w:p w:rsidR="00853F74" w:rsidRPr="00853F74" w:rsidRDefault="00853F74" w:rsidP="00853F74">
      <w:pPr>
        <w:numPr>
          <w:ilvl w:val="0"/>
          <w:numId w:val="8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Formlarda yer alan işletmenin tarımsal faaliyetlerine ilişkin olarak sorulacak soruları cevaplamak, </w:t>
      </w:r>
    </w:p>
    <w:p w:rsidR="00853F74" w:rsidRPr="00853F74" w:rsidRDefault="00853F74" w:rsidP="00853F74">
      <w:pPr>
        <w:numPr>
          <w:ilvl w:val="0"/>
          <w:numId w:val="8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Çiftçi kayıt defterini doldurmak, muhasebe kaydı ve her türlü bilgiyi (makbuz, fatura, belge gibi)  muhafaza etmek ve Bakanlık görevlisiyle paylaşmak. </w:t>
      </w: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  <w:t>B) Bakanlığın Yükümlülüğü:</w:t>
      </w:r>
    </w:p>
    <w:p w:rsidR="00853F74" w:rsidRPr="00853F74" w:rsidRDefault="00853F74" w:rsidP="00853F74">
      <w:pPr>
        <w:numPr>
          <w:ilvl w:val="0"/>
          <w:numId w:val="9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Belli dönemlerde işletmeleri ziyaret ederek ÇMVA formlarını doldurmak, </w:t>
      </w:r>
    </w:p>
    <w:p w:rsidR="00853F74" w:rsidRPr="00853F74" w:rsidRDefault="00853F74" w:rsidP="00853F74">
      <w:pPr>
        <w:numPr>
          <w:ilvl w:val="0"/>
          <w:numId w:val="9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Çiftçilere, geliştirilen çiftçi kayıt defterlerinin kullanımına yönelik eğitim vermek, </w:t>
      </w:r>
    </w:p>
    <w:p w:rsidR="00853F74" w:rsidRPr="00853F74" w:rsidRDefault="00853F74" w:rsidP="00853F74">
      <w:pPr>
        <w:numPr>
          <w:ilvl w:val="0"/>
          <w:numId w:val="9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İşletmelerden toplanan bilginin gizliliğini sağlamak, </w:t>
      </w:r>
    </w:p>
    <w:p w:rsidR="00853F74" w:rsidRPr="00853F74" w:rsidRDefault="00853F74" w:rsidP="00853F74">
      <w:pPr>
        <w:numPr>
          <w:ilvl w:val="0"/>
          <w:numId w:val="9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>Toplanan bilginin istatistik dışı amaçla kullanılmamasını sağlamak,</w:t>
      </w:r>
    </w:p>
    <w:p w:rsidR="00853F74" w:rsidRPr="00853F74" w:rsidRDefault="00853F74" w:rsidP="00853F74">
      <w:pPr>
        <w:numPr>
          <w:ilvl w:val="0"/>
          <w:numId w:val="9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>Sisteme katılarak yükümlülüklerini yerine getiren çiftçilere destekleme ödemesi yapmak,</w:t>
      </w:r>
    </w:p>
    <w:p w:rsidR="00853F74" w:rsidRPr="00853F74" w:rsidRDefault="00853F74" w:rsidP="00853F74">
      <w:pPr>
        <w:numPr>
          <w:ilvl w:val="0"/>
          <w:numId w:val="9"/>
        </w:numPr>
        <w:spacing w:after="0" w:line="240" w:lineRule="exact"/>
        <w:ind w:left="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proofErr w:type="gramStart"/>
      <w:r w:rsidRPr="00853F74">
        <w:rPr>
          <w:rFonts w:ascii="Times New Roman" w:eastAsia="Times New Roman" w:hAnsi="Times New Roman" w:cs="Times New Roman"/>
          <w:sz w:val="18"/>
          <w:szCs w:val="18"/>
          <w:lang w:eastAsia="tr-TR"/>
        </w:rPr>
        <w:t>Sisteme katılan çiftçilere, işletmelerinin ekonomik durumuyla ilgili geri bildirim raporu hazırlamak.</w:t>
      </w:r>
      <w:proofErr w:type="gramEnd"/>
    </w:p>
    <w:p w:rsidR="00853F74" w:rsidRPr="00853F74" w:rsidRDefault="00853F74" w:rsidP="00853F74">
      <w:pPr>
        <w:spacing w:after="0" w:line="240" w:lineRule="exact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lastRenderedPageBreak/>
        <w:t>Ek-2</w:t>
      </w:r>
    </w:p>
    <w:p w:rsidR="00853F74" w:rsidRPr="00853F74" w:rsidRDefault="00853F74" w:rsidP="00853F74">
      <w:pPr>
        <w:spacing w:after="0" w:line="240" w:lineRule="exac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roofErr w:type="gramStart"/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…….</w:t>
      </w:r>
      <w:proofErr w:type="gramEnd"/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YILI ÇMVA KATILIM DESTEĞİ ÖDEMESİ ÇİFTÇİ DETAYINDA İCMAL (İCMAL 1)</w:t>
      </w:r>
    </w:p>
    <w:p w:rsidR="00853F74" w:rsidRPr="00853F74" w:rsidRDefault="00853F74" w:rsidP="00853F74">
      <w:pPr>
        <w:spacing w:after="0" w:line="240" w:lineRule="exact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  </w:t>
      </w:r>
      <w:proofErr w:type="gramStart"/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İLİ                     :</w:t>
      </w:r>
      <w:proofErr w:type="gramEnd"/>
    </w:p>
    <w:p w:rsidR="00853F74" w:rsidRPr="00853F74" w:rsidRDefault="00853F74" w:rsidP="00853F74">
      <w:pPr>
        <w:spacing w:after="0" w:line="240" w:lineRule="exact"/>
        <w:ind w:left="70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 xml:space="preserve">      </w:t>
      </w:r>
      <w:proofErr w:type="gramStart"/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İLÇESİ             :</w:t>
      </w:r>
      <w:proofErr w:type="gramEnd"/>
    </w:p>
    <w:tbl>
      <w:tblPr>
        <w:tblW w:w="8537" w:type="dxa"/>
        <w:jc w:val="center"/>
        <w:tblCellMar>
          <w:left w:w="70" w:type="dxa"/>
          <w:right w:w="70" w:type="dxa"/>
        </w:tblCellMar>
        <w:tblLook w:val="00A0"/>
      </w:tblPr>
      <w:tblGrid>
        <w:gridCol w:w="976"/>
        <w:gridCol w:w="705"/>
        <w:gridCol w:w="1277"/>
        <w:gridCol w:w="1822"/>
        <w:gridCol w:w="1425"/>
        <w:gridCol w:w="1335"/>
        <w:gridCol w:w="997"/>
      </w:tblGrid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98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TC Kimlik No</w:t>
            </w:r>
          </w:p>
        </w:tc>
        <w:tc>
          <w:tcPr>
            <w:tcW w:w="182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Vergi No</w:t>
            </w:r>
          </w:p>
        </w:tc>
        <w:tc>
          <w:tcPr>
            <w:tcW w:w="14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Soyadı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Katılım Desteği Miktarı  (TL)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9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8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6205" w:type="dxa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8537" w:type="dxa"/>
            <w:gridSpan w:val="7"/>
          </w:tcPr>
          <w:p w:rsidR="00853F74" w:rsidRPr="00853F74" w:rsidRDefault="00853F74" w:rsidP="00853F7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853F74" w:rsidRPr="00853F74" w:rsidRDefault="00853F74" w:rsidP="00853F74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Yukarıda kimlik bilgileri yazılı kişilere, hizalarında kayıtlı miktarların 5488 sayılı Tarım Kanunu </w:t>
            </w:r>
            <w:proofErr w:type="gramStart"/>
            <w:r w:rsidRPr="00853F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ve  ÇMVA</w:t>
            </w:r>
            <w:proofErr w:type="gramEnd"/>
            <w:r w:rsidRPr="00853F74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Sistemine Dahil Olan Çiftçilere Katılım Desteği Ödemesi Yapılmasına Dair Tebliğ (Tebliğ No:2013/50) gereğince ödenmesi uygundur.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29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DÜZENLEYEN</w:t>
            </w:r>
          </w:p>
        </w:tc>
        <w:tc>
          <w:tcPr>
            <w:tcW w:w="32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KONTROL EDEN 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ONAYLAYAN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– Soyadı: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– Soyadı: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– Soyadı: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Görevi: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Görevi: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Görevi: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Tarih:</w:t>
            </w:r>
          </w:p>
        </w:tc>
        <w:tc>
          <w:tcPr>
            <w:tcW w:w="1277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Tarih: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Tarih: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68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İmza: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İmza: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İmza: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853F74" w:rsidRPr="00853F74" w:rsidTr="00853F74">
        <w:trPr>
          <w:jc w:val="center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tr-TR"/>
              </w:rPr>
            </w:pPr>
          </w:p>
        </w:tc>
      </w:tr>
    </w:tbl>
    <w:p w:rsidR="00853F74" w:rsidRPr="00853F74" w:rsidRDefault="00853F74" w:rsidP="00853F74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Ek-3</w:t>
      </w:r>
    </w:p>
    <w:p w:rsidR="00853F74" w:rsidRPr="00853F74" w:rsidRDefault="00853F74" w:rsidP="00853F74">
      <w:pPr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853F74" w:rsidRPr="00853F74" w:rsidRDefault="00853F74" w:rsidP="00853F74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roofErr w:type="gramStart"/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……</w:t>
      </w:r>
      <w:proofErr w:type="gramEnd"/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YILI ÇMVA KATILIM DESTEĞİ ÖDEMESİ İL DETAYINDA İCMAL (İCMAL 2)</w:t>
      </w:r>
    </w:p>
    <w:p w:rsidR="00853F74" w:rsidRPr="00853F74" w:rsidRDefault="00853F74" w:rsidP="00853F74">
      <w:pPr>
        <w:spacing w:after="0" w:line="240" w:lineRule="exact"/>
        <w:ind w:firstLineChars="100" w:firstLine="181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proofErr w:type="gramStart"/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İLİ :</w:t>
      </w:r>
      <w:proofErr w:type="gramEnd"/>
    </w:p>
    <w:p w:rsidR="00853F74" w:rsidRPr="00853F74" w:rsidRDefault="00853F74" w:rsidP="00853F74">
      <w:pPr>
        <w:spacing w:after="0" w:line="240" w:lineRule="exact"/>
        <w:ind w:left="70"/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</w:pPr>
      <w:r w:rsidRPr="00853F74">
        <w:rPr>
          <w:rFonts w:ascii="Times New Roman" w:eastAsia="Times New Roman" w:hAnsi="Times New Roman" w:cs="Times New Roman"/>
          <w:b/>
          <w:bCs/>
          <w:sz w:val="18"/>
          <w:szCs w:val="18"/>
          <w:lang w:eastAsia="tr-TR"/>
        </w:rPr>
        <w:t> </w:t>
      </w:r>
    </w:p>
    <w:tbl>
      <w:tblPr>
        <w:tblW w:w="8556" w:type="dxa"/>
        <w:jc w:val="center"/>
        <w:tblCellMar>
          <w:left w:w="70" w:type="dxa"/>
          <w:right w:w="70" w:type="dxa"/>
        </w:tblCellMar>
        <w:tblLook w:val="00A0"/>
      </w:tblPr>
      <w:tblGrid>
        <w:gridCol w:w="1122"/>
        <w:gridCol w:w="330"/>
        <w:gridCol w:w="1421"/>
        <w:gridCol w:w="1418"/>
        <w:gridCol w:w="852"/>
        <w:gridCol w:w="590"/>
        <w:gridCol w:w="2823"/>
        <w:gridCol w:w="146"/>
      </w:tblGrid>
      <w:tr w:rsidR="00853F74" w:rsidRPr="00853F74" w:rsidTr="00853F74">
        <w:trPr>
          <w:trHeight w:val="240"/>
          <w:jc w:val="center"/>
        </w:trPr>
        <w:tc>
          <w:tcPr>
            <w:tcW w:w="11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Sıra No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İlin Adı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Toplam İşletme (Çiftçi) Sayısı</w:t>
            </w:r>
          </w:p>
        </w:tc>
        <w:tc>
          <w:tcPr>
            <w:tcW w:w="426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ÇMVA Katılım Desteği Miktarı  (TL)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40"/>
          <w:jc w:val="center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single" w:sz="12" w:space="0" w:color="000000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122" w:type="dxa"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51" w:type="dxa"/>
            <w:gridSpan w:val="2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28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lastRenderedPageBreak/>
              <w:t>TOPLAM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6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5733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853F74" w:rsidRPr="00853F74" w:rsidRDefault="00853F74" w:rsidP="00853F74">
            <w:pPr>
              <w:spacing w:after="0" w:line="240" w:lineRule="exact"/>
              <w:rPr>
                <w:rFonts w:ascii="Times New Roman" w:eastAsia="Times New Roman" w:hAnsi="Times New Roman" w:cs="Times New Roman"/>
                <w:sz w:val="2"/>
                <w:szCs w:val="18"/>
                <w:lang w:eastAsia="tr-TR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28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DÜZENLEYEN</w:t>
            </w:r>
          </w:p>
        </w:tc>
        <w:tc>
          <w:tcPr>
            <w:tcW w:w="28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:rsidR="00853F74" w:rsidRPr="00853F74" w:rsidRDefault="00853F74" w:rsidP="00853F74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 xml:space="preserve">KONTROL EDEN </w:t>
            </w:r>
          </w:p>
        </w:tc>
        <w:tc>
          <w:tcPr>
            <w:tcW w:w="2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ONAYLAYAN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4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– Soyadı: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– Soyadı: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Adı – Soyadı: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4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Görevi: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Görevi: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Görevi: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452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Tarih: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trHeight w:val="20"/>
          <w:jc w:val="center"/>
        </w:trPr>
        <w:tc>
          <w:tcPr>
            <w:tcW w:w="145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İmza: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İmza: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853F74" w:rsidRPr="00853F74" w:rsidRDefault="00853F74" w:rsidP="00853F74">
            <w:pPr>
              <w:spacing w:after="0" w:line="20" w:lineRule="atLeas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853F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İmza: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tr-TR"/>
              </w:rPr>
            </w:pPr>
          </w:p>
        </w:tc>
      </w:tr>
      <w:tr w:rsidR="00853F74" w:rsidRPr="00853F74" w:rsidTr="00853F74">
        <w:trPr>
          <w:jc w:val="center"/>
        </w:trPr>
        <w:tc>
          <w:tcPr>
            <w:tcW w:w="1122" w:type="dxa"/>
            <w:vAlign w:val="center"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30" w:type="dxa"/>
            <w:vAlign w:val="center"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21" w:type="dxa"/>
            <w:vAlign w:val="center"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18" w:type="dxa"/>
            <w:vAlign w:val="center"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852" w:type="dxa"/>
            <w:vAlign w:val="center"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590" w:type="dxa"/>
            <w:vAlign w:val="center"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23" w:type="dxa"/>
            <w:vAlign w:val="center"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vAlign w:val="center"/>
            <w:hideMark/>
          </w:tcPr>
          <w:p w:rsidR="00853F74" w:rsidRPr="00853F74" w:rsidRDefault="00853F74" w:rsidP="00853F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853F74" w:rsidRDefault="00853F74" w:rsidP="000E4D1B">
      <w:pPr>
        <w:pStyle w:val="1-Baslk"/>
        <w:spacing w:line="240" w:lineRule="exact"/>
        <w:ind w:firstLine="566"/>
        <w:rPr>
          <w:rFonts w:eastAsiaTheme="minorHAnsi" w:hAnsi="Times New Roman"/>
          <w:sz w:val="20"/>
          <w:u w:val="none"/>
        </w:rPr>
      </w:pPr>
    </w:p>
    <w:sectPr w:rsidR="00853F74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3CE" w:rsidRDefault="009933CE" w:rsidP="00CE6B7C">
      <w:pPr>
        <w:spacing w:after="0" w:line="240" w:lineRule="auto"/>
      </w:pPr>
      <w:r>
        <w:separator/>
      </w:r>
    </w:p>
  </w:endnote>
  <w:endnote w:type="continuationSeparator" w:id="0">
    <w:p w:rsidR="009933CE" w:rsidRDefault="009933C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6332A4">
        <w:pPr>
          <w:pStyle w:val="Altbilgi"/>
          <w:jc w:val="center"/>
        </w:pPr>
        <w:fldSimple w:instr=" PAGE   \* MERGEFORMAT ">
          <w:r w:rsidR="00853F74">
            <w:rPr>
              <w:noProof/>
            </w:rPr>
            <w:t>2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3CE" w:rsidRDefault="009933CE" w:rsidP="00CE6B7C">
      <w:pPr>
        <w:spacing w:after="0" w:line="240" w:lineRule="auto"/>
      </w:pPr>
      <w:r>
        <w:separator/>
      </w:r>
    </w:p>
  </w:footnote>
  <w:footnote w:type="continuationSeparator" w:id="0">
    <w:p w:rsidR="009933CE" w:rsidRDefault="009933C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13F60"/>
    <w:rsid w:val="0001626C"/>
    <w:rsid w:val="000370C9"/>
    <w:rsid w:val="00067394"/>
    <w:rsid w:val="00073B7C"/>
    <w:rsid w:val="0009553A"/>
    <w:rsid w:val="000B4DEA"/>
    <w:rsid w:val="000D0A63"/>
    <w:rsid w:val="000D7DBE"/>
    <w:rsid w:val="000E37F2"/>
    <w:rsid w:val="000E4D1B"/>
    <w:rsid w:val="000E72F9"/>
    <w:rsid w:val="000F571B"/>
    <w:rsid w:val="00110B58"/>
    <w:rsid w:val="00120B8D"/>
    <w:rsid w:val="001247BF"/>
    <w:rsid w:val="0012501B"/>
    <w:rsid w:val="0014329D"/>
    <w:rsid w:val="00152242"/>
    <w:rsid w:val="00161128"/>
    <w:rsid w:val="00187B66"/>
    <w:rsid w:val="001917EB"/>
    <w:rsid w:val="00193767"/>
    <w:rsid w:val="00195C8D"/>
    <w:rsid w:val="0019652E"/>
    <w:rsid w:val="001B1871"/>
    <w:rsid w:val="001B789E"/>
    <w:rsid w:val="001E375F"/>
    <w:rsid w:val="001F76B8"/>
    <w:rsid w:val="00211F4F"/>
    <w:rsid w:val="0022592F"/>
    <w:rsid w:val="00231ECE"/>
    <w:rsid w:val="002411CD"/>
    <w:rsid w:val="00280E2B"/>
    <w:rsid w:val="002950D7"/>
    <w:rsid w:val="002E5D32"/>
    <w:rsid w:val="0031216B"/>
    <w:rsid w:val="0033048D"/>
    <w:rsid w:val="003320DC"/>
    <w:rsid w:val="003364E7"/>
    <w:rsid w:val="00347531"/>
    <w:rsid w:val="00361C6C"/>
    <w:rsid w:val="003670F6"/>
    <w:rsid w:val="00384FF4"/>
    <w:rsid w:val="003B147D"/>
    <w:rsid w:val="003E36BC"/>
    <w:rsid w:val="003F0A2F"/>
    <w:rsid w:val="003F0E00"/>
    <w:rsid w:val="00404668"/>
    <w:rsid w:val="00411676"/>
    <w:rsid w:val="00424401"/>
    <w:rsid w:val="00471995"/>
    <w:rsid w:val="00472BF0"/>
    <w:rsid w:val="00482506"/>
    <w:rsid w:val="004A47BB"/>
    <w:rsid w:val="004B600A"/>
    <w:rsid w:val="004C5729"/>
    <w:rsid w:val="004C64B0"/>
    <w:rsid w:val="004D0380"/>
    <w:rsid w:val="004E2415"/>
    <w:rsid w:val="004E3D3E"/>
    <w:rsid w:val="00500FD6"/>
    <w:rsid w:val="00516E98"/>
    <w:rsid w:val="00524D36"/>
    <w:rsid w:val="00527A1F"/>
    <w:rsid w:val="005605A2"/>
    <w:rsid w:val="005727E1"/>
    <w:rsid w:val="005A426C"/>
    <w:rsid w:val="005B27B7"/>
    <w:rsid w:val="005B44D8"/>
    <w:rsid w:val="005F5004"/>
    <w:rsid w:val="006179B6"/>
    <w:rsid w:val="00622266"/>
    <w:rsid w:val="00627628"/>
    <w:rsid w:val="00630C78"/>
    <w:rsid w:val="006312D4"/>
    <w:rsid w:val="006332A4"/>
    <w:rsid w:val="0064293F"/>
    <w:rsid w:val="00654433"/>
    <w:rsid w:val="00656E8E"/>
    <w:rsid w:val="00667BFC"/>
    <w:rsid w:val="006B04AF"/>
    <w:rsid w:val="006C09BF"/>
    <w:rsid w:val="007114EF"/>
    <w:rsid w:val="0072024B"/>
    <w:rsid w:val="0072766F"/>
    <w:rsid w:val="007309FF"/>
    <w:rsid w:val="00735829"/>
    <w:rsid w:val="007420E4"/>
    <w:rsid w:val="0074650B"/>
    <w:rsid w:val="00765CA5"/>
    <w:rsid w:val="007708A4"/>
    <w:rsid w:val="007819EA"/>
    <w:rsid w:val="007835EC"/>
    <w:rsid w:val="007C55B8"/>
    <w:rsid w:val="007C6B47"/>
    <w:rsid w:val="007D4F0A"/>
    <w:rsid w:val="007E5254"/>
    <w:rsid w:val="007F73A7"/>
    <w:rsid w:val="00802E28"/>
    <w:rsid w:val="008332C5"/>
    <w:rsid w:val="00843669"/>
    <w:rsid w:val="00846A18"/>
    <w:rsid w:val="0085186D"/>
    <w:rsid w:val="008527AB"/>
    <w:rsid w:val="00853F74"/>
    <w:rsid w:val="00867B1E"/>
    <w:rsid w:val="0087102D"/>
    <w:rsid w:val="00887767"/>
    <w:rsid w:val="00893744"/>
    <w:rsid w:val="008B6984"/>
    <w:rsid w:val="008C25B5"/>
    <w:rsid w:val="008D6AFF"/>
    <w:rsid w:val="008E2DD9"/>
    <w:rsid w:val="008E3EA9"/>
    <w:rsid w:val="008E6D17"/>
    <w:rsid w:val="0090323C"/>
    <w:rsid w:val="00904273"/>
    <w:rsid w:val="00915BF0"/>
    <w:rsid w:val="00921D9E"/>
    <w:rsid w:val="00923F02"/>
    <w:rsid w:val="009414DE"/>
    <w:rsid w:val="00941744"/>
    <w:rsid w:val="00951485"/>
    <w:rsid w:val="00980465"/>
    <w:rsid w:val="009857E1"/>
    <w:rsid w:val="009933CE"/>
    <w:rsid w:val="009954C1"/>
    <w:rsid w:val="0099686A"/>
    <w:rsid w:val="009A0BF0"/>
    <w:rsid w:val="009A0CB4"/>
    <w:rsid w:val="009B38FA"/>
    <w:rsid w:val="009D40B9"/>
    <w:rsid w:val="009D4B87"/>
    <w:rsid w:val="009D64C8"/>
    <w:rsid w:val="009F160C"/>
    <w:rsid w:val="00A02020"/>
    <w:rsid w:val="00A0296A"/>
    <w:rsid w:val="00A35196"/>
    <w:rsid w:val="00A379EB"/>
    <w:rsid w:val="00A54D74"/>
    <w:rsid w:val="00A904D7"/>
    <w:rsid w:val="00AA786A"/>
    <w:rsid w:val="00AB21EA"/>
    <w:rsid w:val="00AC0A86"/>
    <w:rsid w:val="00AC4286"/>
    <w:rsid w:val="00AF4CAE"/>
    <w:rsid w:val="00B159E5"/>
    <w:rsid w:val="00B27AEA"/>
    <w:rsid w:val="00B461F1"/>
    <w:rsid w:val="00B65BBB"/>
    <w:rsid w:val="00B713A8"/>
    <w:rsid w:val="00B86BFF"/>
    <w:rsid w:val="00B9274C"/>
    <w:rsid w:val="00BA2DE9"/>
    <w:rsid w:val="00BA3089"/>
    <w:rsid w:val="00BC1244"/>
    <w:rsid w:val="00BC1C79"/>
    <w:rsid w:val="00BD1E1C"/>
    <w:rsid w:val="00BD61D6"/>
    <w:rsid w:val="00C05E0B"/>
    <w:rsid w:val="00C0738B"/>
    <w:rsid w:val="00C107EE"/>
    <w:rsid w:val="00C17F93"/>
    <w:rsid w:val="00C2055D"/>
    <w:rsid w:val="00C44A38"/>
    <w:rsid w:val="00C62ADE"/>
    <w:rsid w:val="00C67988"/>
    <w:rsid w:val="00C67A24"/>
    <w:rsid w:val="00C82345"/>
    <w:rsid w:val="00C86466"/>
    <w:rsid w:val="00C9401D"/>
    <w:rsid w:val="00C94610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748D"/>
    <w:rsid w:val="00D32650"/>
    <w:rsid w:val="00D35A33"/>
    <w:rsid w:val="00D41BC0"/>
    <w:rsid w:val="00D930A9"/>
    <w:rsid w:val="00D9489C"/>
    <w:rsid w:val="00DA5C28"/>
    <w:rsid w:val="00DB4B0E"/>
    <w:rsid w:val="00DD7D93"/>
    <w:rsid w:val="00DF3052"/>
    <w:rsid w:val="00E00282"/>
    <w:rsid w:val="00E306F9"/>
    <w:rsid w:val="00E3660E"/>
    <w:rsid w:val="00E43E56"/>
    <w:rsid w:val="00E74904"/>
    <w:rsid w:val="00E96B82"/>
    <w:rsid w:val="00EB1FA7"/>
    <w:rsid w:val="00EB6AE6"/>
    <w:rsid w:val="00EF57AA"/>
    <w:rsid w:val="00F01301"/>
    <w:rsid w:val="00F43969"/>
    <w:rsid w:val="00F554A9"/>
    <w:rsid w:val="00F83100"/>
    <w:rsid w:val="00FA1887"/>
    <w:rsid w:val="00FA30A2"/>
    <w:rsid w:val="00FA4C81"/>
    <w:rsid w:val="00FE3A4E"/>
    <w:rsid w:val="00FE5F1D"/>
    <w:rsid w:val="00FF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semiHidden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1977</Words>
  <Characters>11269</Characters>
  <Application>Microsoft Office Word</Application>
  <DocSecurity>0</DocSecurity>
  <Lines>93</Lines>
  <Paragraphs>26</Paragraphs>
  <ScaleCrop>false</ScaleCrop>
  <Company>TURMOB</Company>
  <LinksUpToDate>false</LinksUpToDate>
  <CharactersWithSpaces>13220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153</cp:revision>
  <cp:lastPrinted>2013-06-18T05:31:00Z</cp:lastPrinted>
  <dcterms:created xsi:type="dcterms:W3CDTF">2013-06-03T05:31:00Z</dcterms:created>
  <dcterms:modified xsi:type="dcterms:W3CDTF">2013-08-20T05:26:00Z</dcterms:modified>
</cp:coreProperties>
</file>