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5727E1" w:rsidRDefault="00627628" w:rsidP="009D40B9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0370C9" w:rsidRPr="005727E1" w:rsidRDefault="00B713A8" w:rsidP="009D40B9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="00BF2F3F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9D40B9" w:rsidRPr="005727E1">
        <w:rPr>
          <w:rFonts w:ascii="Times New Roman" w:hAnsi="Times New Roman" w:cs="Times New Roman"/>
          <w:b/>
          <w:sz w:val="20"/>
          <w:szCs w:val="20"/>
          <w:u w:val="single"/>
        </w:rPr>
        <w:t xml:space="preserve"> Ağustos</w:t>
      </w:r>
      <w:r w:rsidR="00802E28" w:rsidRPr="005727E1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 </w:t>
      </w:r>
      <w:proofErr w:type="gramStart"/>
      <w:r w:rsidR="00BF2F3F">
        <w:rPr>
          <w:rFonts w:ascii="Times New Roman" w:hAnsi="Times New Roman" w:cs="Times New Roman"/>
          <w:b/>
          <w:sz w:val="20"/>
          <w:szCs w:val="20"/>
          <w:u w:val="single"/>
        </w:rPr>
        <w:t>Sayı : 28742</w:t>
      </w:r>
      <w:proofErr w:type="gramEnd"/>
    </w:p>
    <w:p w:rsidR="00E306F9" w:rsidRDefault="00E306F9" w:rsidP="000E4D1B">
      <w:pPr>
        <w:pStyle w:val="1-Baslk"/>
        <w:spacing w:line="240" w:lineRule="exact"/>
        <w:ind w:firstLine="566"/>
        <w:rPr>
          <w:rFonts w:eastAsiaTheme="minorHAnsi" w:hAnsi="Times New Roman"/>
          <w:sz w:val="20"/>
          <w:u w:val="none"/>
        </w:rPr>
      </w:pPr>
    </w:p>
    <w:p w:rsidR="00BF2F3F" w:rsidRDefault="00BF2F3F" w:rsidP="00BF2F3F">
      <w:pPr>
        <w:pStyle w:val="1-Baslk"/>
        <w:spacing w:line="240" w:lineRule="exact"/>
        <w:ind w:firstLine="566"/>
        <w:rPr>
          <w:sz w:val="18"/>
          <w:szCs w:val="18"/>
        </w:rPr>
      </w:pPr>
      <w:r w:rsidRPr="00BF2F3F">
        <w:rPr>
          <w:b/>
          <w:sz w:val="18"/>
          <w:szCs w:val="18"/>
          <w:u w:val="none"/>
        </w:rPr>
        <w:t xml:space="preserve">Bilgi Teknolojileri ve </w:t>
      </w:r>
      <w:r w:rsidRPr="00BF2F3F">
        <w:rPr>
          <w:b/>
          <w:sz w:val="18"/>
          <w:szCs w:val="18"/>
          <w:u w:val="none"/>
        </w:rPr>
        <w:t>İ</w:t>
      </w:r>
      <w:r w:rsidRPr="00BF2F3F">
        <w:rPr>
          <w:b/>
          <w:sz w:val="18"/>
          <w:szCs w:val="18"/>
          <w:u w:val="none"/>
        </w:rPr>
        <w:t>leti</w:t>
      </w:r>
      <w:r w:rsidRPr="00BF2F3F">
        <w:rPr>
          <w:b/>
          <w:sz w:val="18"/>
          <w:szCs w:val="18"/>
          <w:u w:val="none"/>
        </w:rPr>
        <w:t>ş</w:t>
      </w:r>
      <w:r w:rsidRPr="00BF2F3F">
        <w:rPr>
          <w:b/>
          <w:sz w:val="18"/>
          <w:szCs w:val="18"/>
          <w:u w:val="none"/>
        </w:rPr>
        <w:t>im Kurumundan</w:t>
      </w:r>
      <w:r>
        <w:rPr>
          <w:sz w:val="18"/>
          <w:szCs w:val="18"/>
        </w:rPr>
        <w:t>:</w:t>
      </w:r>
    </w:p>
    <w:p w:rsidR="00BF2F3F" w:rsidRDefault="00BF2F3F" w:rsidP="00BF2F3F">
      <w:pPr>
        <w:pStyle w:val="1-Baslk"/>
        <w:spacing w:line="240" w:lineRule="exact"/>
        <w:ind w:firstLine="566"/>
        <w:rPr>
          <w:sz w:val="18"/>
          <w:szCs w:val="18"/>
        </w:rPr>
      </w:pPr>
    </w:p>
    <w:p w:rsidR="00BF2F3F" w:rsidRDefault="00BF2F3F" w:rsidP="00BF2F3F">
      <w:pPr>
        <w:pStyle w:val="1-Baslk"/>
        <w:spacing w:line="240" w:lineRule="exact"/>
        <w:ind w:firstLine="566"/>
        <w:rPr>
          <w:sz w:val="18"/>
          <w:szCs w:val="18"/>
        </w:rPr>
      </w:pPr>
    </w:p>
    <w:p w:rsidR="00BF2F3F" w:rsidRDefault="00BF2F3F" w:rsidP="00BF2F3F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NTERNET ALAN ADLARI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MAZLIK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BF2F3F" w:rsidRDefault="00BF2F3F" w:rsidP="00BF2F3F">
      <w:pPr>
        <w:pStyle w:val="2-OrtaBaslk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MEKAN</w:t>
      </w:r>
      <w:r>
        <w:rPr>
          <w:sz w:val="18"/>
          <w:szCs w:val="18"/>
        </w:rPr>
        <w:t>İ</w:t>
      </w:r>
      <w:r>
        <w:rPr>
          <w:sz w:val="18"/>
          <w:szCs w:val="18"/>
        </w:rPr>
        <w:t>ZMASI TEBL</w:t>
      </w:r>
      <w:r>
        <w:rPr>
          <w:sz w:val="18"/>
          <w:szCs w:val="18"/>
        </w:rPr>
        <w:t>İĞİ</w:t>
      </w:r>
    </w:p>
    <w:p w:rsidR="00BF2F3F" w:rsidRDefault="00BF2F3F" w:rsidP="00BF2F3F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BF2F3F" w:rsidRDefault="00BF2F3F" w:rsidP="00BF2F3F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Genel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</w:t>
      </w:r>
    </w:p>
    <w:p w:rsidR="00BF2F3F" w:rsidRDefault="00BF2F3F" w:rsidP="00BF2F3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internet alan adlar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ilgili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mekanizmas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letilmesine,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belirlenmesine ve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usul ve esaslar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zenlemektir.</w:t>
      </w:r>
    </w:p>
    <w:p w:rsidR="00BF2F3F" w:rsidRDefault="00BF2F3F" w:rsidP="00BF2F3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.tr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uzant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internet alan adlar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ilgili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mekanizmas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letilmesini,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belirlenmesini ve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klerini kapsar.</w:t>
      </w:r>
    </w:p>
    <w:p w:rsidR="00BF2F3F" w:rsidRDefault="00BF2F3F" w:rsidP="00BF2F3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7/11/2010</w:t>
      </w:r>
      <w:proofErr w:type="gramEnd"/>
      <w:r>
        <w:rPr>
          <w:sz w:val="18"/>
          <w:szCs w:val="18"/>
        </w:rPr>
        <w:t xml:space="preserve"> tarihli ve 27752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nternet Alan Adlar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inin 15 inci maddesine ve 23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maddesine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F2F3F" w:rsidRDefault="00BF2F3F" w:rsidP="00BF2F3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 ve 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saltmalar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en;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Hakem Heyeti: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nternet alan adlar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ilgili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klara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bulmak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nyesinde kurulan Hakem Heyetlerini,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nternet alan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AA):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.tr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uzant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internet alan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nternet alan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dondurma: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nternet alan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yer alan bilgilerin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tirilmesine, internet alan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sat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na, devrine, feragatine ve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 transferine izin verilmeyip yenilenmesine izin verilmesi halini,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nternet Alan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Sahibi (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AAS):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.tr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uzant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 sahibini,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Kanun: </w:t>
      </w:r>
      <w:proofErr w:type="gramStart"/>
      <w:r>
        <w:rPr>
          <w:sz w:val="18"/>
          <w:szCs w:val="18"/>
        </w:rPr>
        <w:t>5/11/2008</w:t>
      </w:r>
      <w:proofErr w:type="gramEnd"/>
      <w:r>
        <w:rPr>
          <w:sz w:val="18"/>
          <w:szCs w:val="18"/>
        </w:rPr>
        <w:t xml:space="preserve"> tarihli ve 5809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Elektronik Haberle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Kanununu,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u (KK):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vuru, yenileme, iptal gibi alan adlar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ilgili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eden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f) Kurul: Bilgi Teknolojileri ve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Kurulunu,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g) Kurum: Bilgi Teknolojileri ve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Kurumunu,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>) Rehber: Alan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sahibinin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bilgileri ile alan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tahsis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resinin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bitti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tarihler gibi bilgileri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bir veritaban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h)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i: Tahsis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bir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AA ile ilgili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yette bulunmak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yapan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 edilen: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nezdinde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yete konu olan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yi</w:t>
      </w:r>
      <w:proofErr w:type="spellEnd"/>
      <w:r>
        <w:rPr>
          <w:sz w:val="18"/>
          <w:szCs w:val="18"/>
        </w:rPr>
        <w:t>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i) tr 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bilgi sistemi (TRAB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S): </w:t>
      </w:r>
      <w:r>
        <w:rPr>
          <w:sz w:val="18"/>
          <w:szCs w:val="18"/>
        </w:rPr>
        <w:t>“</w:t>
      </w:r>
      <w:r>
        <w:rPr>
          <w:sz w:val="18"/>
          <w:szCs w:val="18"/>
        </w:rPr>
        <w:t>.tr</w:t>
      </w:r>
      <w:r>
        <w:rPr>
          <w:sz w:val="18"/>
          <w:szCs w:val="18"/>
        </w:rPr>
        <w:t>”</w:t>
      </w:r>
      <w:r>
        <w:rPr>
          <w:sz w:val="18"/>
          <w:szCs w:val="18"/>
        </w:rPr>
        <w:t xml:space="preserve"> uzant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 sisteminin ve buna ait merkezi veritaban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letilmesine, rehberin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ncellenmesine ve rehberlik hizmetinin sunulmas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ve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lemlerinin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zamanl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imk</w:t>
      </w:r>
      <w:r>
        <w:rPr>
          <w:sz w:val="18"/>
          <w:szCs w:val="18"/>
        </w:rPr>
        <w:t>â</w:t>
      </w:r>
      <w:r>
        <w:rPr>
          <w:sz w:val="18"/>
          <w:szCs w:val="18"/>
        </w:rPr>
        <w:t>n veren,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bu faaliyetlerin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reklili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layacak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sistemi,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j)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(U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HS):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nternet alan adlar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ilgili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recini hakemler veya hakem heyetleri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ten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niversiteleri, kamu kurumu niteli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indeki meslek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k)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netmelik: </w:t>
      </w:r>
      <w:proofErr w:type="gramStart"/>
      <w:r>
        <w:rPr>
          <w:sz w:val="18"/>
          <w:szCs w:val="18"/>
        </w:rPr>
        <w:t>7/11/2010</w:t>
      </w:r>
      <w:proofErr w:type="gramEnd"/>
      <w:r>
        <w:rPr>
          <w:sz w:val="18"/>
          <w:szCs w:val="18"/>
        </w:rPr>
        <w:t xml:space="preserve"> tarihli ve 27752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nternet Alan Adlar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ifade</w:t>
      </w:r>
      <w:proofErr w:type="gramEnd"/>
      <w:r>
        <w:rPr>
          <w:sz w:val="18"/>
          <w:szCs w:val="18"/>
        </w:rPr>
        <w:t xml:space="preserve"> eder.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 ve yukar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yer almayan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ilgili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mevzuatta yer alan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erlidir.</w:t>
      </w:r>
    </w:p>
    <w:p w:rsidR="00BF2F3F" w:rsidRDefault="00BF2F3F" w:rsidP="00BF2F3F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BF2F3F" w:rsidRDefault="00BF2F3F" w:rsidP="00BF2F3F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Hizmet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</w:p>
    <w:p w:rsidR="00BF2F3F" w:rsidRDefault="00BF2F3F" w:rsidP="00BF2F3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vuru ve faaliyete 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lama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 olarak faaliyet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stermek isteyen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 ekteki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formunu doldurarak Kuruma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vuruda bulunurlar.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sahibinin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Cumhuriyeti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olarak kurulmu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sahibinin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Cumhuriyetince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ve fikri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lkiyet hukuku,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hukuku veya tahkim hukuku konusunda uzman uluslararas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lardan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Cumhuriyeti mevzuat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olarak kurulmu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bir temsilcili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proofErr w:type="spellStart"/>
      <w:r>
        <w:rPr>
          <w:sz w:val="18"/>
          <w:szCs w:val="18"/>
        </w:rPr>
        <w:t>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lerin</w:t>
      </w:r>
      <w:proofErr w:type="spellEnd"/>
      <w:r>
        <w:rPr>
          <w:sz w:val="18"/>
          <w:szCs w:val="18"/>
        </w:rPr>
        <w:t>, alan adlar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recini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netebilecek idari ve teknik yetkinli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haiz olmalar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en az on adet hakemi listelerinde bulundurmalar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gerekir.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(4) Kurumca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inceleme sonucunda gerekli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tespit edilenler U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HS olarak belirlenir ve bu </w:t>
      </w:r>
      <w:proofErr w:type="spellStart"/>
      <w:r>
        <w:rPr>
          <w:sz w:val="18"/>
          <w:szCs w:val="18"/>
        </w:rPr>
        <w:t>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lerin</w:t>
      </w:r>
      <w:proofErr w:type="spellEnd"/>
      <w:r>
        <w:rPr>
          <w:sz w:val="18"/>
          <w:szCs w:val="18"/>
        </w:rPr>
        <w:t xml:space="preserve"> ismi ile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bilgileri Kurumun internet sitesinde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F2F3F" w:rsidRDefault="00BF2F3F" w:rsidP="00BF2F3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kler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HS;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Listesinde bulunan hakemlerin adlar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sa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lerini internet sitesinde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mlamakla,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mekanizmas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ile ilgili,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25 inci maddesinde yer alan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gerekli bilgi ve belgelere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internet sitesinde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mlamak ve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lamakla,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Kuruma yapm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vuruda sundu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bilgi ve belgelerde herhangi bir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meydana gelmesi halinde, bu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iklikleri yedi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Kuruma bildirmekle,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Talep edilmesi halinde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leyi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ve gelinen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iyi veya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 edileni bilgilendirmekle,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Kabul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her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vurusunu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erisinde </w:t>
      </w:r>
      <w:proofErr w:type="spellStart"/>
      <w:r>
        <w:rPr>
          <w:sz w:val="18"/>
          <w:szCs w:val="18"/>
        </w:rPr>
        <w:t>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e</w:t>
      </w:r>
      <w:proofErr w:type="spellEnd"/>
      <w:r>
        <w:rPr>
          <w:sz w:val="18"/>
          <w:szCs w:val="18"/>
        </w:rPr>
        <w:t xml:space="preserve"> ve ilgili </w:t>
      </w:r>
      <w:proofErr w:type="spellStart"/>
      <w:r>
        <w:rPr>
          <w:sz w:val="18"/>
          <w:szCs w:val="18"/>
        </w:rPr>
        <w:t>KK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ya</w:t>
      </w:r>
      <w:proofErr w:type="spellEnd"/>
      <w:r>
        <w:rPr>
          <w:sz w:val="18"/>
          <w:szCs w:val="18"/>
        </w:rPr>
        <w:t xml:space="preserve"> bildirmekle,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Kurumun talep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bilgi ve belgeleri derhal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lamakla,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f)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ile ilgili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 dolay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elde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bilgi ve belgeleri en az on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ile saklamakla,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g)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ile ilgili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 dolay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elde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bilgi ve belgeleri ilgili mevzuat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taraflarla payla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mamakla,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ğ</w:t>
      </w:r>
      <w:r>
        <w:rPr>
          <w:sz w:val="18"/>
          <w:szCs w:val="18"/>
        </w:rPr>
        <w:t>) Her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Mart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sonuna kadar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 ait faaliyet raporunu Kuruma sunmakla,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h)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 edilenin yapt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demeleri ilgili mevzuatta yer alan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ntemlerle tahsil etmekle,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ı</w:t>
      </w:r>
      <w:r>
        <w:rPr>
          <w:sz w:val="18"/>
          <w:szCs w:val="18"/>
        </w:rPr>
        <w:t>) Mevzuatlar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bir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ya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</w:t>
      </w:r>
      <w:proofErr w:type="spellEnd"/>
      <w:r>
        <w:rPr>
          <w:sz w:val="18"/>
          <w:szCs w:val="18"/>
        </w:rPr>
        <w:t xml:space="preserve"> veya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iye ait bilgilere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 yetkisine sahip kamu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adli makamlar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taleplerini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lamakla,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proofErr w:type="gramEnd"/>
      <w:r>
        <w:rPr>
          <w:sz w:val="18"/>
          <w:szCs w:val="18"/>
        </w:rPr>
        <w:t>.</w:t>
      </w:r>
    </w:p>
    <w:p w:rsidR="00BF2F3F" w:rsidRDefault="00BF2F3F" w:rsidP="00BF2F3F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BF2F3F" w:rsidRDefault="00BF2F3F" w:rsidP="00BF2F3F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Mekanizmas</w:t>
      </w:r>
      <w:r>
        <w:rPr>
          <w:sz w:val="18"/>
          <w:szCs w:val="18"/>
        </w:rPr>
        <w:t>ı</w:t>
      </w:r>
    </w:p>
    <w:p w:rsidR="00BF2F3F" w:rsidRDefault="00BF2F3F" w:rsidP="00BF2F3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Uyu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mazl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k </w:t>
      </w:r>
      <w:r>
        <w:rPr>
          <w:b/>
          <w:sz w:val="18"/>
          <w:szCs w:val="18"/>
        </w:rPr>
        <w:t>çö</w:t>
      </w:r>
      <w:r>
        <w:rPr>
          <w:b/>
          <w:sz w:val="18"/>
          <w:szCs w:val="18"/>
        </w:rPr>
        <w:t>z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 mekanizmas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na 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vuru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25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birlikte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iddia eden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i,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tercih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proofErr w:type="spellStart"/>
      <w:r>
        <w:rPr>
          <w:sz w:val="18"/>
          <w:szCs w:val="18"/>
        </w:rPr>
        <w:t>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</w:t>
      </w:r>
      <w:proofErr w:type="spellEnd"/>
      <w:r>
        <w:rPr>
          <w:sz w:val="18"/>
          <w:szCs w:val="18"/>
        </w:rPr>
        <w:t xml:space="preserve"> internet sayfas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vurusunu yapabilir.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 kapasitesinin yetersiz kald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durumlarda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vuruyu kabul etmeme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sahiptir.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vuruyu kabul ya da reddetti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dair cevab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erisinde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iye bildirir.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vuruda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kendisine karar bildirilene kadar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 konusunda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ka bir </w:t>
      </w:r>
      <w:proofErr w:type="spellStart"/>
      <w:r>
        <w:rPr>
          <w:sz w:val="18"/>
          <w:szCs w:val="18"/>
        </w:rPr>
        <w:t>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</w:t>
      </w:r>
      <w:proofErr w:type="spellEnd"/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vuruda bulunamaz.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i,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iye tahsisli birden fazla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ya</w:t>
      </w:r>
      <w:proofErr w:type="spellEnd"/>
      <w:r>
        <w:rPr>
          <w:sz w:val="18"/>
          <w:szCs w:val="18"/>
        </w:rPr>
        <w:t xml:space="preserve">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tek bir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vuruda bulunabilir.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(5)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vurusunda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bir hakem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ya da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hakemden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bir heyet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ele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tercihini belirtir.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(6)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vurusunda;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Kendisinin ve varsa kendisini temsile yetkili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inin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bilgilerini,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yete konu olan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>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yete konu olan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ya</w:t>
      </w:r>
      <w:proofErr w:type="spellEnd"/>
      <w:r>
        <w:rPr>
          <w:sz w:val="18"/>
          <w:szCs w:val="18"/>
        </w:rPr>
        <w:t xml:space="preserve">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iptal ya da devir talebini,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ddias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destekleyici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bilgi ve belgeleri ve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bin kelimeyi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mayacak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ilgili gerek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eleri,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istenen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bilgi ve belgeleri,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yet konusu ile ilgili olarak daha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ka bir </w:t>
      </w:r>
      <w:proofErr w:type="spellStart"/>
      <w:r>
        <w:rPr>
          <w:sz w:val="18"/>
          <w:szCs w:val="18"/>
        </w:rPr>
        <w:t>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</w:t>
      </w:r>
      <w:proofErr w:type="spellEnd"/>
      <w:r>
        <w:rPr>
          <w:sz w:val="18"/>
          <w:szCs w:val="18"/>
        </w:rPr>
        <w:t xml:space="preserve"> veya mahkemeye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vuruda bulunup bulunmad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herhangi bir karar olup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f)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yetinde belirtti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hususlar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eksiksiz ve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una dair beyan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proofErr w:type="spellStart"/>
      <w:r>
        <w:rPr>
          <w:sz w:val="18"/>
          <w:szCs w:val="18"/>
        </w:rPr>
        <w:t>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</w:t>
      </w:r>
      <w:proofErr w:type="spellEnd"/>
      <w:r>
        <w:rPr>
          <w:sz w:val="18"/>
          <w:szCs w:val="18"/>
        </w:rPr>
        <w:t xml:space="preserve"> bildirir.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(7)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sonras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ek bilgi, belge ve deliller sunabilir.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erlendirmeye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hakem veya hakem heyetinin takdirindedir.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(8)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vuruda bir eksiklik tespit etmesi halinde durumu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iye bildirir ve eksikli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giderilmesi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iye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verir.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eksikliklerin giderilmemesi halinde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ersiz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Ancak bu durum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inin yeniden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yapmas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engel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 etmez.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(9)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vuruyu kabul etmesini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teakip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 xml:space="preserve">a konu olan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derhal </w:t>
      </w:r>
      <w:proofErr w:type="spellStart"/>
      <w:r>
        <w:rPr>
          <w:sz w:val="18"/>
          <w:szCs w:val="18"/>
        </w:rPr>
        <w:t>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e</w:t>
      </w:r>
      <w:proofErr w:type="spellEnd"/>
      <w:r>
        <w:rPr>
          <w:sz w:val="18"/>
          <w:szCs w:val="18"/>
        </w:rPr>
        <w:t xml:space="preserve"> ve ilgili </w:t>
      </w:r>
      <w:proofErr w:type="spellStart"/>
      <w:r>
        <w:rPr>
          <w:sz w:val="18"/>
          <w:szCs w:val="18"/>
        </w:rPr>
        <w:t>KK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ya</w:t>
      </w:r>
      <w:proofErr w:type="spellEnd"/>
      <w:r>
        <w:rPr>
          <w:sz w:val="18"/>
          <w:szCs w:val="18"/>
        </w:rPr>
        <w:t xml:space="preserve"> bildirir.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konu ile ilgili olarak internet sayfas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duyuru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 ve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 dondurulur.</w:t>
      </w:r>
    </w:p>
    <w:p w:rsidR="00BF2F3F" w:rsidRDefault="00BF2F3F" w:rsidP="00BF2F3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vurunun 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ik</w:t>
      </w:r>
      <w:r>
        <w:rPr>
          <w:b/>
          <w:sz w:val="18"/>
          <w:szCs w:val="18"/>
        </w:rPr>
        <w:t>â</w:t>
      </w:r>
      <w:r>
        <w:rPr>
          <w:b/>
          <w:sz w:val="18"/>
          <w:szCs w:val="18"/>
        </w:rPr>
        <w:t>yet edilene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nderilmesi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bir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vurunun kabul edilmesini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teakip bir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inde;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bildirim,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vuruda sunulan bilgi ve belgeleri ihtiva eden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 dosyas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inin hakem veya hakem heyeti tercihi,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mevzuat konusunda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klamalar ile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recin 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leyece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dair bilgiler ve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d)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yet edilenin </w:t>
      </w:r>
      <w:proofErr w:type="spellStart"/>
      <w:r>
        <w:rPr>
          <w:sz w:val="18"/>
          <w:szCs w:val="18"/>
        </w:rPr>
        <w:t>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</w:t>
      </w:r>
      <w:proofErr w:type="spellEnd"/>
      <w:r>
        <w:rPr>
          <w:sz w:val="18"/>
          <w:szCs w:val="18"/>
        </w:rPr>
        <w:t xml:space="preserve"> cevap verirken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ndermesi gereken bilgi ve belgelere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klamalar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</w:t>
      </w:r>
      <w:proofErr w:type="gramEnd"/>
      <w:r>
        <w:rPr>
          <w:sz w:val="18"/>
          <w:szCs w:val="18"/>
        </w:rPr>
        <w:t xml:space="preserve"> edilene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nderilir.</w:t>
      </w:r>
    </w:p>
    <w:p w:rsidR="00BF2F3F" w:rsidRDefault="00BF2F3F" w:rsidP="00BF2F3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ik</w:t>
      </w:r>
      <w:r>
        <w:rPr>
          <w:b/>
          <w:sz w:val="18"/>
          <w:szCs w:val="18"/>
        </w:rPr>
        <w:t>â</w:t>
      </w:r>
      <w:r>
        <w:rPr>
          <w:b/>
          <w:sz w:val="18"/>
          <w:szCs w:val="18"/>
        </w:rPr>
        <w:t>yet edilenin cevab</w:t>
      </w:r>
      <w:r>
        <w:rPr>
          <w:b/>
          <w:sz w:val="18"/>
          <w:szCs w:val="18"/>
        </w:rPr>
        <w:t>ı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 edilen,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vurunun kendisine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nderilmesinden itibaren on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inde;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Kendisinin ve varsa kendisini temsile yetkili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inin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bilgilerini,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kendisinden istenen bilgi ve belgeleri,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Cevab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destekleyici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bilgi ve belgeleri,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Konu ile ilgili olarak daha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ka bir </w:t>
      </w:r>
      <w:proofErr w:type="spellStart"/>
      <w:r>
        <w:rPr>
          <w:sz w:val="18"/>
          <w:szCs w:val="18"/>
        </w:rPr>
        <w:t>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</w:t>
      </w:r>
      <w:proofErr w:type="spellEnd"/>
      <w:r>
        <w:rPr>
          <w:sz w:val="18"/>
          <w:szCs w:val="18"/>
        </w:rPr>
        <w:t xml:space="preserve"> veya bir mahkemeye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vuruda bulunulup bulunulmad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herhangi bir karar olup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bilgisini,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bir hakem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ya da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hakemden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bir heyet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ele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tercihini,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e)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makul gerek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 ile birlikte ek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talebini,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proofErr w:type="spellStart"/>
      <w:r>
        <w:rPr>
          <w:sz w:val="18"/>
          <w:szCs w:val="18"/>
        </w:rPr>
        <w:t>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</w:t>
      </w:r>
      <w:proofErr w:type="spellEnd"/>
      <w:r>
        <w:rPr>
          <w:sz w:val="18"/>
          <w:szCs w:val="18"/>
        </w:rPr>
        <w:t xml:space="preserve"> iletir.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U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HS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 edilenin hakem tercihini ve ek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taleplerini bir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 eden tarafa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nderir.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U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HS,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 edilene, talep etmesi halinde on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kadar ek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verir ve bunu derhal taraflara bildirir.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 edilenin, belirlenen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cevap vermemesi halinde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inin sundu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ve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taraflardan temin edilen bilgi ve belgelere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karar verilir.</w:t>
      </w:r>
    </w:p>
    <w:p w:rsidR="00BF2F3F" w:rsidRDefault="00BF2F3F" w:rsidP="00BF2F3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Hakemlerin nitelikleri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Hakemler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ilerden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ilir ve asgari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nitelikleri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r;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tarihinde fiil ehliyetine sahip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Cumhuriyeti vatanda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olmak,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Fikri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lkiyet haklar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hukuku, marka hukuku, ticaret hukuku veya bili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hukuku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en az birinde en az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mesleki deneyime sahip olmak,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Affa u</w:t>
      </w:r>
      <w:r>
        <w:rPr>
          <w:sz w:val="18"/>
          <w:szCs w:val="18"/>
        </w:rPr>
        <w:t>ğ</w:t>
      </w:r>
      <w:r>
        <w:rPr>
          <w:sz w:val="18"/>
          <w:szCs w:val="18"/>
        </w:rPr>
        <w:t>ram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, ertelenmi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olsa dahi Devlete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lenen su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 ile zimmet, irtik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p, 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vet, h</w:t>
      </w:r>
      <w:r>
        <w:rPr>
          <w:sz w:val="18"/>
          <w:szCs w:val="18"/>
        </w:rPr>
        <w:t>ı</w:t>
      </w:r>
      <w:r>
        <w:rPr>
          <w:sz w:val="18"/>
          <w:szCs w:val="18"/>
        </w:rPr>
        <w:t>rs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doland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sahtecilik,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veni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ye kullanma, hileli iflas gibi bir su</w:t>
      </w:r>
      <w:r>
        <w:rPr>
          <w:sz w:val="18"/>
          <w:szCs w:val="18"/>
        </w:rPr>
        <w:t>ç</w:t>
      </w:r>
      <w:r>
        <w:rPr>
          <w:sz w:val="18"/>
          <w:szCs w:val="18"/>
        </w:rPr>
        <w:t>tan veya ka</w:t>
      </w:r>
      <w:r>
        <w:rPr>
          <w:sz w:val="18"/>
          <w:szCs w:val="18"/>
        </w:rPr>
        <w:t>ç</w:t>
      </w:r>
      <w:r>
        <w:rPr>
          <w:sz w:val="18"/>
          <w:szCs w:val="18"/>
        </w:rPr>
        <w:t>ak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k, resmi ihale ve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mlara fesat kar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rma,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hakemlik yapma, yalan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veya yalan yere yemin su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bulunmamak,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Disiplin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nden meslekten ya da memuriyetten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olmak veya sanat icras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olarak yasakl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durumda olmamak,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Daha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hakl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neden olmaks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herhangi bir hakemlikten veya herhangi bir hakem heyeti listesinden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olmak,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En az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rt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lisans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renimi veren fak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lte ve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ksekokullar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n;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1) Hukuk fak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ltelerinden,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2)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hendislik fak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ltelerinden,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3) Siyasal bilgiler, iktisadi ve idari bilimler, iktisat ve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fak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ltelerinden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ya</w:t>
      </w:r>
      <w:proofErr w:type="gramEnd"/>
      <w:r>
        <w:rPr>
          <w:sz w:val="18"/>
          <w:szCs w:val="18"/>
        </w:rPr>
        <w:t xml:space="preserve"> da bu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mlerden denkli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retim Kurulunca kabul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yurt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ndaki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ksek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retim kurumlar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mezun olmak.</w:t>
      </w:r>
    </w:p>
    <w:p w:rsidR="00BF2F3F" w:rsidRDefault="00BF2F3F" w:rsidP="00BF2F3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Hakemlerin belirlenmesi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Taraflar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tek hakemle ele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konusunda mutab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olmalar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 hakemi belirler.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Taraflardan birinin hakem heyeti istemesi durumunda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hakemden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bir heyet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ele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Bu durumda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HS, taraflardan 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zamanl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olarak, kendi listesinde yer alan hakemlerden biri yedek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iki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er ismi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ip kendisine bildirmelerini ister. Heyette yer alacak hakemlerin ikisi taraflar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tercihlerinden,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hakem ise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ilen hakemler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belirlenir. Taraflardan birinin belirlenen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hakem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belirtmemesi halinde, bu hakemin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imi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(3) Hakemlerin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hakemi belirleme konusunda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mutab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kalamamas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hakem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belirlenir.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hakem, heyet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yapar.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Hakemlerin belirlenmesi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lemi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9 uncu maddenin ikinci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mesini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teakip iki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tamamlan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 hakem heyetindeki hakemlerden en az birisinin hukuk fak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ltesi mezunlar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</w:t>
      </w:r>
    </w:p>
    <w:p w:rsidR="00BF2F3F" w:rsidRDefault="00BF2F3F" w:rsidP="00BF2F3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Hakemlerin 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mas</w:t>
      </w:r>
      <w:r>
        <w:rPr>
          <w:b/>
          <w:sz w:val="18"/>
          <w:szCs w:val="18"/>
        </w:rPr>
        <w:t>ı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Hakemler,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konusu alan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 taraflar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tarafs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sterir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beyanlar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HS'ye</w:t>
      </w:r>
      <w:proofErr w:type="spellEnd"/>
      <w:r>
        <w:rPr>
          <w:sz w:val="18"/>
          <w:szCs w:val="18"/>
        </w:rPr>
        <w:t xml:space="preserve"> sunmalar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teakip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maya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larlar.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26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maddesinde yer alan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 sakl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kalmak ve ilgili taraflara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tarafs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ve adil davranmak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uluyla hakemler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lme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ekli ve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ntemi konusunda serbesttirler.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Hakem heyetinde hakemler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koordinasyon, heyet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hakem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Hakemler, bizzat kendileri, 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leri veya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dereceye kadar (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derece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>) kan ve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hri h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ilgili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yetlerin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lmesi ve karara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gibi tarafs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etkileyebilecek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revlerde yer alamaz.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Hakemi ya da hakemleri reddetmek isteyen taraf, ret isteminde bulunabilece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bir durumun ortaya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öğ</w:t>
      </w:r>
      <w:r>
        <w:rPr>
          <w:sz w:val="18"/>
          <w:szCs w:val="18"/>
        </w:rPr>
        <w:t>rendi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tarihten itibaren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gerek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esini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belirterek ret isteminde bulunabilir ve bu istemini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tarafa, </w:t>
      </w:r>
      <w:proofErr w:type="spellStart"/>
      <w:r>
        <w:rPr>
          <w:sz w:val="18"/>
          <w:szCs w:val="18"/>
        </w:rPr>
        <w:t>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</w:t>
      </w:r>
      <w:proofErr w:type="spellEnd"/>
      <w:r>
        <w:rPr>
          <w:sz w:val="18"/>
          <w:szCs w:val="18"/>
        </w:rPr>
        <w:t xml:space="preserve"> ve hakem heyetine bildirir.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rmesi halinde hakem se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recini tekrarlar.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(5) Hakem,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tarafs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etkileyecek herhangi bir durumun ortaya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bunu derhal </w:t>
      </w:r>
      <w:proofErr w:type="spellStart"/>
      <w:r>
        <w:rPr>
          <w:sz w:val="18"/>
          <w:szCs w:val="18"/>
        </w:rPr>
        <w:t>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</w:t>
      </w:r>
      <w:proofErr w:type="spellEnd"/>
      <w:r>
        <w:rPr>
          <w:sz w:val="18"/>
          <w:szCs w:val="18"/>
        </w:rPr>
        <w:t xml:space="preserve"> bildirir. Bu durumda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HS, gerekli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rmesi halinde, yeni bir hakem atar.</w:t>
      </w:r>
    </w:p>
    <w:p w:rsidR="00BF2F3F" w:rsidRDefault="00BF2F3F" w:rsidP="00BF2F3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Ek bilgi ve belge ihtiyac</w:t>
      </w:r>
      <w:r>
        <w:rPr>
          <w:b/>
          <w:sz w:val="18"/>
          <w:szCs w:val="18"/>
        </w:rPr>
        <w:t>ı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Hakem veya hakem heyeti,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taraflardan ek bilgi ve belge isteyebilir.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Ek bilgi ve belgeler, talebin taraflara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nderilmesinden itibaren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</w:t>
      </w:r>
      <w:proofErr w:type="spellStart"/>
      <w:r>
        <w:rPr>
          <w:sz w:val="18"/>
          <w:szCs w:val="18"/>
        </w:rPr>
        <w:t>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</w:t>
      </w:r>
      <w:proofErr w:type="spellEnd"/>
      <w:r>
        <w:rPr>
          <w:sz w:val="18"/>
          <w:szCs w:val="18"/>
        </w:rPr>
        <w:t xml:space="preserve"> sunulur.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 sunulan ek bilgi ve belgeleri derhal hakeme veya hakem heyetine iletir.</w:t>
      </w:r>
    </w:p>
    <w:p w:rsidR="00BF2F3F" w:rsidRDefault="00BF2F3F" w:rsidP="00BF2F3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Karar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Hakem veya hakem heyeti, 9 uncu maddede belirtilen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recin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teakip </w:t>
      </w:r>
      <w:proofErr w:type="spellStart"/>
      <w:r>
        <w:rPr>
          <w:sz w:val="18"/>
          <w:szCs w:val="18"/>
        </w:rPr>
        <w:t>onbe</w:t>
      </w:r>
      <w:r>
        <w:rPr>
          <w:sz w:val="18"/>
          <w:szCs w:val="18"/>
        </w:rPr>
        <w:t>ş</w:t>
      </w:r>
      <w:proofErr w:type="spellEnd"/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27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karar verir. Bu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erisinde karar verilememesi durumunda hakem ya da hakem heyeti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ne kadar ek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 kullanabilir.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lgili taraflar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bilgilendirilmesini </w:t>
      </w:r>
      <w:proofErr w:type="spellStart"/>
      <w:r>
        <w:rPr>
          <w:sz w:val="18"/>
          <w:szCs w:val="18"/>
        </w:rPr>
        <w:t>teminen</w:t>
      </w:r>
      <w:proofErr w:type="spellEnd"/>
      <w:r>
        <w:rPr>
          <w:sz w:val="18"/>
          <w:szCs w:val="18"/>
        </w:rPr>
        <w:t xml:space="preserve"> bu durum </w:t>
      </w:r>
      <w:proofErr w:type="spellStart"/>
      <w:r>
        <w:rPr>
          <w:sz w:val="18"/>
          <w:szCs w:val="18"/>
        </w:rPr>
        <w:t>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</w:t>
      </w:r>
      <w:proofErr w:type="spellEnd"/>
      <w:r>
        <w:rPr>
          <w:sz w:val="18"/>
          <w:szCs w:val="18"/>
        </w:rPr>
        <w:t xml:space="preserve"> bildirilir.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Hakem heyeti kararlar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basit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unlukla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ekimser oy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lamaz. Verilen karar gerek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eleri ve varsa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erhi ile birlikte </w:t>
      </w:r>
      <w:proofErr w:type="spellStart"/>
      <w:r>
        <w:rPr>
          <w:sz w:val="18"/>
          <w:szCs w:val="18"/>
        </w:rPr>
        <w:t>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</w:t>
      </w:r>
      <w:proofErr w:type="spellEnd"/>
      <w:r>
        <w:rPr>
          <w:sz w:val="18"/>
          <w:szCs w:val="18"/>
        </w:rPr>
        <w:t xml:space="preserve"> bildirilir.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HS, kendisine bildirilen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gerek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esini bir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erisinde </w:t>
      </w:r>
      <w:proofErr w:type="spellStart"/>
      <w:r>
        <w:rPr>
          <w:sz w:val="18"/>
          <w:szCs w:val="18"/>
        </w:rPr>
        <w:t>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e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KK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ya</w:t>
      </w:r>
      <w:proofErr w:type="spellEnd"/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yetle ilgili taraflara iletir.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 xml:space="preserve">a konu olan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>, kendisine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tarihini, karar tarihini, ilgili taraflar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kararda aksi belirtilmedik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 karar metninin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kendisine ait internet sitesinde derhal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mlar.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(4) Karar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nmadan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nce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 edilenin aralar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anla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arak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recinin sona erdirilmesini talep etmeleri halinde hakem veya hakem heyeti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sonland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Bu durum </w:t>
      </w:r>
      <w:proofErr w:type="spellStart"/>
      <w:r>
        <w:rPr>
          <w:sz w:val="18"/>
          <w:szCs w:val="18"/>
        </w:rPr>
        <w:t>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</w:t>
      </w:r>
      <w:proofErr w:type="spellEnd"/>
      <w:r>
        <w:rPr>
          <w:sz w:val="18"/>
          <w:szCs w:val="18"/>
        </w:rPr>
        <w:t xml:space="preserve"> internet sitesinde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r, </w:t>
      </w:r>
      <w:proofErr w:type="spellStart"/>
      <w:r>
        <w:rPr>
          <w:sz w:val="18"/>
          <w:szCs w:val="18"/>
        </w:rPr>
        <w:t>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</w:t>
      </w:r>
      <w:proofErr w:type="spellEnd"/>
      <w:r>
        <w:rPr>
          <w:sz w:val="18"/>
          <w:szCs w:val="18"/>
        </w:rPr>
        <w:t xml:space="preserve"> ve hakemlere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cretler iade edilmez.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(5)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 esnas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inin sona erdirme talebi olursa hakem veya hakem heyeti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devam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hakem veya hakem heyetinin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F2F3F" w:rsidRDefault="00BF2F3F" w:rsidP="00BF2F3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Karar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uygulanmas</w:t>
      </w:r>
      <w:r>
        <w:rPr>
          <w:b/>
          <w:sz w:val="18"/>
          <w:szCs w:val="18"/>
        </w:rPr>
        <w:t>ı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taraflara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edilmesinden itibaren on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veya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mekanizmas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recinin daha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nceki bir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konu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ihtiyati tedbir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proofErr w:type="spellStart"/>
      <w:r>
        <w:rPr>
          <w:sz w:val="18"/>
          <w:szCs w:val="18"/>
        </w:rPr>
        <w:t>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</w:t>
      </w:r>
      <w:proofErr w:type="spellEnd"/>
      <w:r>
        <w:rPr>
          <w:sz w:val="18"/>
          <w:szCs w:val="18"/>
        </w:rPr>
        <w:t xml:space="preserve"> bildirilmemesi halinde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ilgili KK ve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proofErr w:type="spellStart"/>
      <w:r>
        <w:rPr>
          <w:sz w:val="18"/>
          <w:szCs w:val="18"/>
        </w:rPr>
        <w:t>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e</w:t>
      </w:r>
      <w:proofErr w:type="spellEnd"/>
      <w:r>
        <w:rPr>
          <w:sz w:val="18"/>
          <w:szCs w:val="18"/>
        </w:rPr>
        <w:t xml:space="preserve"> iletilmek suretiyle derhal yerine getirilir. KK ve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 konu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ilgili taraflar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bilgilendirir.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taraflara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nderilmesinden sonra on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veya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mekanizmas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recinin daha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nceki bir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konu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ihtiyati tedbir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proofErr w:type="spellStart"/>
      <w:r>
        <w:rPr>
          <w:sz w:val="18"/>
          <w:szCs w:val="18"/>
        </w:rPr>
        <w:t>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</w:t>
      </w:r>
      <w:proofErr w:type="spellEnd"/>
      <w:r>
        <w:rPr>
          <w:sz w:val="18"/>
          <w:szCs w:val="18"/>
        </w:rPr>
        <w:t xml:space="preserve"> bildirilmesi halinde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mekanizmas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 devam eder ancak hakem ya da hakem heyeti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uygulanmaz. Bu durumda dava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recinin tamamlanmas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beklenir ve mahkeme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gere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ilgili KK ve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proofErr w:type="spellStart"/>
      <w:r>
        <w:rPr>
          <w:sz w:val="18"/>
          <w:szCs w:val="18"/>
        </w:rPr>
        <w:t>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e</w:t>
      </w:r>
      <w:proofErr w:type="spellEnd"/>
      <w:r>
        <w:rPr>
          <w:sz w:val="18"/>
          <w:szCs w:val="18"/>
        </w:rPr>
        <w:t xml:space="preserve"> iletilmek suretiyle derhal yerine getirilir. KK ve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 konu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ilgili taraflar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bilgilendirir.</w:t>
      </w:r>
    </w:p>
    <w:p w:rsidR="00BF2F3F" w:rsidRDefault="00BF2F3F" w:rsidP="00BF2F3F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BF2F3F" w:rsidRDefault="00BF2F3F" w:rsidP="00BF2F3F">
      <w:pPr>
        <w:pStyle w:val="2-OrtaBaslk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>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</w:t>
      </w:r>
    </w:p>
    <w:p w:rsidR="00BF2F3F" w:rsidRDefault="00BF2F3F" w:rsidP="00BF2F3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Uyu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mazl</w:t>
      </w:r>
      <w:r>
        <w:rPr>
          <w:b/>
          <w:sz w:val="18"/>
          <w:szCs w:val="18"/>
        </w:rPr>
        <w:t>ığ</w:t>
      </w:r>
      <w:r>
        <w:rPr>
          <w:b/>
          <w:sz w:val="18"/>
          <w:szCs w:val="18"/>
        </w:rPr>
        <w:t xml:space="preserve">a konu olan </w:t>
      </w:r>
      <w:proofErr w:type="spellStart"/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AA</w:t>
      </w:r>
      <w:r>
        <w:rPr>
          <w:b/>
          <w:sz w:val="18"/>
          <w:szCs w:val="18"/>
        </w:rPr>
        <w:t>’</w:t>
      </w:r>
      <w:r>
        <w:rPr>
          <w:b/>
          <w:sz w:val="18"/>
          <w:szCs w:val="18"/>
        </w:rPr>
        <w:t>ya</w:t>
      </w:r>
      <w:proofErr w:type="spellEnd"/>
      <w:r>
        <w:rPr>
          <w:b/>
          <w:sz w:val="18"/>
          <w:szCs w:val="18"/>
        </w:rPr>
        <w:t xml:space="preserve"> ili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kin 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lemler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16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 xml:space="preserve">a konu olan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AA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resince dondurulur.</w:t>
      </w:r>
    </w:p>
    <w:p w:rsidR="00BF2F3F" w:rsidRDefault="00BF2F3F" w:rsidP="00BF2F3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leti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imin sa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lanmas</w:t>
      </w:r>
      <w:r>
        <w:rPr>
          <w:b/>
          <w:sz w:val="18"/>
          <w:szCs w:val="18"/>
        </w:rPr>
        <w:t>ı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 ya da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 edilen taraf hakeme ya da hakem heyetine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bilgi ve belge sunamaz; taraflar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bilgi ve belge ak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 xml:space="preserve"> sadece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 vas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tas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HS,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konu olan taraflar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birinden ald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bilgi ve belgeleri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tarafa 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nderir.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 ve taraflar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e-posta gibi elektronik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ntemlerle de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lanabilir.</w:t>
      </w:r>
    </w:p>
    <w:p w:rsidR="00BF2F3F" w:rsidRDefault="00BF2F3F" w:rsidP="00BF2F3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Uyu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mazl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k </w:t>
      </w:r>
      <w:r>
        <w:rPr>
          <w:b/>
          <w:sz w:val="18"/>
          <w:szCs w:val="18"/>
        </w:rPr>
        <w:t>çö</w:t>
      </w:r>
      <w:r>
        <w:rPr>
          <w:b/>
          <w:sz w:val="18"/>
          <w:szCs w:val="18"/>
        </w:rPr>
        <w:t>z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n dili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18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Taraflarca aksi kararla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a,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recinde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dil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</w:t>
      </w:r>
      <w:r>
        <w:rPr>
          <w:sz w:val="18"/>
          <w:szCs w:val="18"/>
        </w:rPr>
        <w:t>ç</w:t>
      </w:r>
      <w:r>
        <w:rPr>
          <w:sz w:val="18"/>
          <w:szCs w:val="18"/>
        </w:rPr>
        <w:t>edir.</w:t>
      </w:r>
    </w:p>
    <w:p w:rsidR="00BF2F3F" w:rsidRDefault="00BF2F3F" w:rsidP="00BF2F3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AA</w:t>
      </w:r>
      <w:r>
        <w:rPr>
          <w:b/>
          <w:sz w:val="18"/>
          <w:szCs w:val="18"/>
        </w:rPr>
        <w:t>’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proofErr w:type="spellEnd"/>
      <w:r>
        <w:rPr>
          <w:b/>
          <w:sz w:val="18"/>
          <w:szCs w:val="18"/>
        </w:rPr>
        <w:t xml:space="preserve"> k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t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 xml:space="preserve"> niyetle tahsis ettirilmesi veya kullan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lmas</w:t>
      </w:r>
      <w:r>
        <w:rPr>
          <w:b/>
          <w:sz w:val="18"/>
          <w:szCs w:val="18"/>
        </w:rPr>
        <w:t>ı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durumlar,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25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(c) bendinde ifade edilen, bir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niyetle tahsis ettirilmesi veya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erlendirilir;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 xml:space="preserve">a)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yet konusu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>, ticaret veya hizmet markas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ticaret unvan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 da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aretin sahibi olan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iye veya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inin ticari olarak rekabette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tarafa, bu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belgelenmi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tahsis masraflar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yat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maliyetini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miktardaki bir mebla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 satma veya devretme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tahsis ettirilmi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  <w:proofErr w:type="gramEnd"/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yet konusu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>, ticarette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marka, ticaret unvan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 da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aretin sahibinin, bu marka, unvan, ad ya da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areti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da</w:t>
      </w:r>
      <w:proofErr w:type="spellEnd"/>
      <w:r>
        <w:rPr>
          <w:sz w:val="18"/>
          <w:szCs w:val="18"/>
        </w:rPr>
        <w:t xml:space="preserve"> kullanmas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engellemek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tahsis ettirilmi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yet konusu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>, esasen ticari rakiplerin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lerine ya da faaliyetlerine zarar vermek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tahsis ettirilmi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htilaf konusu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>, ticari kazan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elde etmek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inin sahibi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ticarette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marka, ticaret unvan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letme ad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 da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areti ile benzerlik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layarak kar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meydana getirmek suretiyle internet </w:t>
      </w:r>
      <w:r>
        <w:rPr>
          <w:sz w:val="18"/>
          <w:szCs w:val="18"/>
        </w:rPr>
        <w:lastRenderedPageBreak/>
        <w:t>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</w:t>
      </w:r>
      <w:proofErr w:type="spellEnd"/>
      <w:r>
        <w:rPr>
          <w:sz w:val="18"/>
          <w:szCs w:val="18"/>
        </w:rPr>
        <w:t xml:space="preserve"> internet sitesine veya herhangi bir internet sitesine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nlendirilmesi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bu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Bu maddenin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durumlar tahdidi olmay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p, hakem veya hakem heyeti takdiri ile de </w:t>
      </w:r>
      <w:proofErr w:type="spellStart"/>
      <w:r>
        <w:rPr>
          <w:sz w:val="18"/>
          <w:szCs w:val="18"/>
        </w:rPr>
        <w:t>İ</w:t>
      </w:r>
      <w:r>
        <w:rPr>
          <w:sz w:val="18"/>
          <w:szCs w:val="18"/>
        </w:rPr>
        <w:t>AA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spellEnd"/>
      <w:r>
        <w:rPr>
          <w:sz w:val="18"/>
          <w:szCs w:val="18"/>
        </w:rPr>
        <w:t xml:space="preserve">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niyetle tahsis ettirildi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veya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karar verilebilir.</w:t>
      </w:r>
    </w:p>
    <w:p w:rsidR="00BF2F3F" w:rsidRDefault="00BF2F3F" w:rsidP="00BF2F3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cretler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mekanizmas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letilmesindeki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cretler;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Her bir hakem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hakem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creti, bin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r. Bu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her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olarak Maliye Bakanl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nca belirlenecek yeniden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erleme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art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U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HS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 her bir hakem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belirlenen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cretin 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Hakem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creti ve U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HS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creti,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proofErr w:type="spellStart"/>
      <w:r>
        <w:rPr>
          <w:sz w:val="18"/>
          <w:szCs w:val="18"/>
        </w:rPr>
        <w:t>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</w:t>
      </w:r>
      <w:proofErr w:type="spell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denir.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recinin herhangi bir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U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HS 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cretinin iadesi </w:t>
      </w:r>
      <w:proofErr w:type="spellStart"/>
      <w:r>
        <w:rPr>
          <w:sz w:val="18"/>
          <w:szCs w:val="18"/>
        </w:rPr>
        <w:t>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</w:t>
      </w:r>
      <w:proofErr w:type="spellEnd"/>
      <w:r>
        <w:rPr>
          <w:sz w:val="18"/>
          <w:szCs w:val="18"/>
        </w:rPr>
        <w:t xml:space="preserve"> takdirindedir.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Hakem veya hakem heyetinin belirlenmesinden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taraflar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anla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 da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inin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yetinden vazge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mesi gibi nedenlerle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recinin sonlanmas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 hakem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cretleri iade edilir.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(5)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inin tek hakem istedi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ancak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yet edilenin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hakemden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heyet tercih etti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durumlarda, aradaki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fark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 edilen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yetin kendisine iletildi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tarihten itibaren yedi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inde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denir.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 fark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denmemesi halinde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tek hakemce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Hakem veya hakem heyeti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haks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bulunan taraf hakl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bulunan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varsa U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HS ve hakem </w:t>
      </w:r>
      <w:r>
        <w:rPr>
          <w:sz w:val="18"/>
          <w:szCs w:val="18"/>
        </w:rPr>
        <w:t>ü</w:t>
      </w:r>
      <w:r>
        <w:rPr>
          <w:sz w:val="18"/>
          <w:szCs w:val="18"/>
        </w:rPr>
        <w:t>cretlerine ili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kin masraflar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tarafa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der. Bu </w:t>
      </w:r>
      <w:r>
        <w:rPr>
          <w:sz w:val="18"/>
          <w:szCs w:val="18"/>
        </w:rPr>
        <w:t>ö</w:t>
      </w:r>
      <w:r>
        <w:rPr>
          <w:sz w:val="18"/>
          <w:szCs w:val="18"/>
        </w:rPr>
        <w:t>demede Kurumun ve hakemlerin herhangi bir arac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rol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bulunmaz.</w:t>
      </w:r>
    </w:p>
    <w:p w:rsidR="00BF2F3F" w:rsidRDefault="00BF2F3F" w:rsidP="00BF2F3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Denetim ve yapt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21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(1) Kurum </w:t>
      </w:r>
      <w:proofErr w:type="spellStart"/>
      <w:r>
        <w:rPr>
          <w:sz w:val="18"/>
          <w:szCs w:val="18"/>
        </w:rPr>
        <w:t>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sen</w:t>
      </w:r>
      <w:proofErr w:type="spellEnd"/>
      <w:r>
        <w:rPr>
          <w:sz w:val="18"/>
          <w:szCs w:val="18"/>
        </w:rPr>
        <w:t xml:space="preserve"> veya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yet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denetlemeye yetkilidir.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denetimler sonucunda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veya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mlerine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faaliyet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steren </w:t>
      </w:r>
      <w:proofErr w:type="spellStart"/>
      <w:r>
        <w:rPr>
          <w:sz w:val="18"/>
          <w:szCs w:val="18"/>
        </w:rPr>
        <w:t>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</w:t>
      </w:r>
      <w:proofErr w:type="spellEnd"/>
      <w:r>
        <w:rPr>
          <w:sz w:val="18"/>
          <w:szCs w:val="18"/>
        </w:rPr>
        <w:t xml:space="preserve">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bu durum Kurumun internet sitesinde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 tekrar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tespiti halinde; Kurum ilgili </w:t>
      </w:r>
      <w:proofErr w:type="spellStart"/>
      <w:r>
        <w:rPr>
          <w:sz w:val="18"/>
          <w:szCs w:val="18"/>
        </w:rPr>
        <w:t>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yi</w:t>
      </w:r>
      <w:proofErr w:type="spellEnd"/>
      <w:r>
        <w:rPr>
          <w:sz w:val="18"/>
          <w:szCs w:val="18"/>
        </w:rPr>
        <w:t xml:space="preserve"> internet sitesinde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mlamakta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</w:t>
      </w:r>
      <w:proofErr w:type="spellStart"/>
      <w:r>
        <w:rPr>
          <w:sz w:val="18"/>
          <w:szCs w:val="18"/>
        </w:rPr>
        <w:t>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</w:t>
      </w:r>
      <w:proofErr w:type="spellEnd"/>
      <w:r>
        <w:rPr>
          <w:sz w:val="18"/>
          <w:szCs w:val="18"/>
        </w:rPr>
        <w:t xml:space="preserve"> listesinden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 ve </w:t>
      </w:r>
      <w:proofErr w:type="spellStart"/>
      <w:r>
        <w:rPr>
          <w:sz w:val="18"/>
          <w:szCs w:val="18"/>
        </w:rPr>
        <w:t>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yi</w:t>
      </w:r>
      <w:proofErr w:type="spellEnd"/>
      <w:r>
        <w:rPr>
          <w:sz w:val="18"/>
          <w:szCs w:val="18"/>
        </w:rPr>
        <w:t xml:space="preserve"> bilgilendirir. Bu durumda ilgili U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HS yeni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 kabul edemez.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</w:t>
      </w:r>
      <w:proofErr w:type="spellStart"/>
      <w:r>
        <w:rPr>
          <w:sz w:val="18"/>
          <w:szCs w:val="18"/>
        </w:rPr>
        <w:t>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</w:t>
      </w:r>
      <w:proofErr w:type="spellEnd"/>
      <w:r>
        <w:rPr>
          <w:sz w:val="18"/>
          <w:szCs w:val="18"/>
        </w:rPr>
        <w:t xml:space="preserve">, 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</w:t>
      </w:r>
      <w:r>
        <w:rPr>
          <w:sz w:val="18"/>
          <w:szCs w:val="18"/>
        </w:rPr>
        <w:t>ğ</w:t>
      </w:r>
      <w:r>
        <w:rPr>
          <w:sz w:val="18"/>
          <w:szCs w:val="18"/>
        </w:rPr>
        <w:t>) bendindeki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yerine getirmemesi durumunda; Kurum ilgili </w:t>
      </w:r>
      <w:proofErr w:type="spellStart"/>
      <w:r>
        <w:rPr>
          <w:sz w:val="18"/>
          <w:szCs w:val="18"/>
        </w:rPr>
        <w:t>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yi</w:t>
      </w:r>
      <w:proofErr w:type="spellEnd"/>
      <w:r>
        <w:rPr>
          <w:sz w:val="18"/>
          <w:szCs w:val="18"/>
        </w:rPr>
        <w:t xml:space="preserve"> uyarmaks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internet sitesinde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mlamakta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</w:t>
      </w:r>
      <w:proofErr w:type="spellStart"/>
      <w:r>
        <w:rPr>
          <w:sz w:val="18"/>
          <w:szCs w:val="18"/>
        </w:rPr>
        <w:t>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</w:t>
      </w:r>
      <w:proofErr w:type="spellEnd"/>
      <w:r>
        <w:rPr>
          <w:sz w:val="18"/>
          <w:szCs w:val="18"/>
        </w:rPr>
        <w:t xml:space="preserve"> listesinden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 ve </w:t>
      </w:r>
      <w:proofErr w:type="spellStart"/>
      <w:r>
        <w:rPr>
          <w:sz w:val="18"/>
          <w:szCs w:val="18"/>
        </w:rPr>
        <w:t>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yi</w:t>
      </w:r>
      <w:proofErr w:type="spellEnd"/>
      <w:r>
        <w:rPr>
          <w:sz w:val="18"/>
          <w:szCs w:val="18"/>
        </w:rPr>
        <w:t xml:space="preserve"> bilgilendirir. Bu durumda ilgili U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HS yeni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vurusu kabul edemez.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(5) Bu maddenin </w:t>
      </w: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en </w:t>
      </w:r>
      <w:proofErr w:type="spellStart"/>
      <w:r>
        <w:rPr>
          <w:sz w:val="18"/>
          <w:szCs w:val="18"/>
        </w:rPr>
        <w:t>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lerin</w:t>
      </w:r>
      <w:proofErr w:type="spellEnd"/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tmekte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</w:t>
      </w:r>
      <w:r>
        <w:rPr>
          <w:sz w:val="18"/>
          <w:szCs w:val="18"/>
        </w:rPr>
        <w:t>ç</w:t>
      </w:r>
      <w:r>
        <w:rPr>
          <w:sz w:val="18"/>
          <w:szCs w:val="18"/>
        </w:rPr>
        <w:t>lerini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teakip faaliyetlerine son verilir.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(6)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 faaliyetlerinin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klere ve ilgili mevzuata ayk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</w:t>
      </w:r>
      <w:proofErr w:type="spellStart"/>
      <w:r>
        <w:rPr>
          <w:sz w:val="18"/>
          <w:szCs w:val="18"/>
        </w:rPr>
        <w:t>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ye</w:t>
      </w:r>
      <w:proofErr w:type="spellEnd"/>
      <w:r>
        <w:rPr>
          <w:sz w:val="18"/>
          <w:szCs w:val="18"/>
        </w:rPr>
        <w:t xml:space="preserve"> Kanun ve ilgili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mevzuat uyar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nca Kurum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idari para cezas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 ile tedbirler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F2F3F" w:rsidRDefault="00BF2F3F" w:rsidP="00BF2F3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Faaliyet raporu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her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Mart 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sonuna kadar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rlanarak ve Kuruma sunulacak faaliyet raporu asgari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unsurlar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erir;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Uyu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mazl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çö</w:t>
      </w:r>
      <w:r>
        <w:rPr>
          <w:sz w:val="18"/>
          <w:szCs w:val="18"/>
        </w:rPr>
        <w:t>z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mekanizmas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toplam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Kabul edilen ve reddedilen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Kabul edilen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 konusu alan adlar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alt alanlara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Kabul edilen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releri,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Sonu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nan kararlara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Kabul edilen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vurular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 ve 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</w:t>
      </w:r>
      <w:r>
        <w:rPr>
          <w:sz w:val="18"/>
          <w:szCs w:val="18"/>
        </w:rPr>
        <w:t>â</w:t>
      </w:r>
      <w:r>
        <w:rPr>
          <w:sz w:val="18"/>
          <w:szCs w:val="18"/>
        </w:rPr>
        <w:t>yet edilenin posta adreslerine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ehir ya da </w:t>
      </w:r>
      <w:r>
        <w:rPr>
          <w:sz w:val="18"/>
          <w:szCs w:val="18"/>
        </w:rPr>
        <w:t>ü</w:t>
      </w:r>
      <w:r>
        <w:rPr>
          <w:sz w:val="18"/>
          <w:szCs w:val="18"/>
        </w:rPr>
        <w:t>lke baz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f) </w:t>
      </w:r>
      <w:proofErr w:type="spellStart"/>
      <w:r>
        <w:rPr>
          <w:sz w:val="18"/>
          <w:szCs w:val="18"/>
        </w:rPr>
        <w:t>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nin</w:t>
      </w:r>
      <w:proofErr w:type="spellEnd"/>
      <w:r>
        <w:rPr>
          <w:sz w:val="18"/>
          <w:szCs w:val="18"/>
        </w:rPr>
        <w:t xml:space="preserve"> bir sonraki 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 ait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leri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nerileri,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g) Kurum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istenecek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bilgi ve belgeler.</w:t>
      </w:r>
    </w:p>
    <w:p w:rsidR="00BF2F3F" w:rsidRDefault="00BF2F3F" w:rsidP="00BF2F3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H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 bulunmayan haller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23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de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bulunmayan hallerde Kurul Karar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zenleme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BF2F3F" w:rsidRDefault="00BF2F3F" w:rsidP="00BF2F3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s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reci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Çİ</w:t>
      </w:r>
      <w:r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proofErr w:type="spellStart"/>
      <w:r>
        <w:rPr>
          <w:sz w:val="18"/>
          <w:szCs w:val="18"/>
        </w:rPr>
        <w:t>U</w:t>
      </w:r>
      <w:r>
        <w:rPr>
          <w:sz w:val="18"/>
          <w:szCs w:val="18"/>
        </w:rPr>
        <w:t>Ç</w:t>
      </w:r>
      <w:r>
        <w:rPr>
          <w:sz w:val="18"/>
          <w:szCs w:val="18"/>
        </w:rPr>
        <w:t>HS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ler</w:t>
      </w:r>
      <w:proofErr w:type="spellEnd"/>
      <w:r>
        <w:rPr>
          <w:sz w:val="18"/>
          <w:szCs w:val="18"/>
        </w:rPr>
        <w:t>, 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 faaliyete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tarihten itibaren faaliyete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lar ve bu durum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Kuruma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bilgi verirler.</w:t>
      </w:r>
    </w:p>
    <w:p w:rsidR="00BF2F3F" w:rsidRDefault="00BF2F3F" w:rsidP="00BF2F3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24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in;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a) 5 inci, 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, 10 uncu, 21 inci, 23 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maddeleri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maddeleri </w:t>
      </w:r>
      <w:proofErr w:type="spellStart"/>
      <w:r>
        <w:rPr>
          <w:sz w:val="18"/>
          <w:szCs w:val="18"/>
        </w:rPr>
        <w:t>TRAB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S</w:t>
      </w:r>
      <w:r>
        <w:rPr>
          <w:sz w:val="18"/>
          <w:szCs w:val="18"/>
        </w:rPr>
        <w:t>’</w:t>
      </w:r>
      <w:r>
        <w:rPr>
          <w:sz w:val="18"/>
          <w:szCs w:val="18"/>
        </w:rPr>
        <w:t>in</w:t>
      </w:r>
      <w:proofErr w:type="spellEnd"/>
      <w:r>
        <w:rPr>
          <w:sz w:val="18"/>
          <w:szCs w:val="18"/>
        </w:rPr>
        <w:t xml:space="preserve"> faaliyete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tarihten itibaren,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</w:t>
      </w:r>
      <w:proofErr w:type="gramEnd"/>
      <w:r>
        <w:rPr>
          <w:sz w:val="18"/>
          <w:szCs w:val="18"/>
        </w:rPr>
        <w:t xml:space="preserve"> girer.</w:t>
      </w:r>
    </w:p>
    <w:p w:rsidR="00BF2F3F" w:rsidRDefault="00BF2F3F" w:rsidP="00BF2F3F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Kurul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BF2F3F" w:rsidRDefault="00BF2F3F" w:rsidP="00BF2F3F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BF2F3F" w:rsidRDefault="00BF2F3F" w:rsidP="00BF2F3F">
      <w:pPr>
        <w:pStyle w:val="3-NormalYaz"/>
        <w:spacing w:line="240" w:lineRule="exact"/>
        <w:rPr>
          <w:b/>
          <w:bCs/>
          <w:sz w:val="18"/>
          <w:szCs w:val="18"/>
        </w:rPr>
      </w:pPr>
      <w:hyperlink r:id="rId7" w:history="1">
        <w:r>
          <w:rPr>
            <w:rStyle w:val="Kpr"/>
            <w:b/>
            <w:bCs/>
            <w:sz w:val="18"/>
            <w:szCs w:val="18"/>
          </w:rPr>
          <w:t>Tebli</w:t>
        </w:r>
        <w:r>
          <w:rPr>
            <w:rStyle w:val="Kpr"/>
            <w:b/>
            <w:bCs/>
            <w:sz w:val="18"/>
            <w:szCs w:val="18"/>
          </w:rPr>
          <w:t>ğ</w:t>
        </w:r>
        <w:r>
          <w:rPr>
            <w:rStyle w:val="Kpr"/>
            <w:b/>
            <w:bCs/>
            <w:sz w:val="18"/>
            <w:szCs w:val="18"/>
          </w:rPr>
          <w:t>in Ekleri</w:t>
        </w:r>
      </w:hyperlink>
    </w:p>
    <w:p w:rsidR="00BF2F3F" w:rsidRDefault="00BF2F3F" w:rsidP="000E4D1B">
      <w:pPr>
        <w:pStyle w:val="1-Baslk"/>
        <w:spacing w:line="240" w:lineRule="exact"/>
        <w:ind w:firstLine="566"/>
        <w:rPr>
          <w:rFonts w:eastAsiaTheme="minorHAnsi" w:hAnsi="Times New Roman"/>
          <w:sz w:val="20"/>
          <w:u w:val="none"/>
        </w:rPr>
      </w:pPr>
    </w:p>
    <w:sectPr w:rsidR="00BF2F3F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6F3" w:rsidRDefault="00EE46F3" w:rsidP="00CE6B7C">
      <w:pPr>
        <w:spacing w:after="0" w:line="240" w:lineRule="auto"/>
      </w:pPr>
      <w:r>
        <w:separator/>
      </w:r>
    </w:p>
  </w:endnote>
  <w:endnote w:type="continuationSeparator" w:id="0">
    <w:p w:rsidR="00EE46F3" w:rsidRDefault="00EE46F3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D60837">
        <w:pPr>
          <w:pStyle w:val="Altbilgi"/>
          <w:jc w:val="center"/>
        </w:pPr>
        <w:fldSimple w:instr=" PAGE   \* MERGEFORMAT ">
          <w:r w:rsidR="00BF2F3F">
            <w:rPr>
              <w:noProof/>
            </w:rPr>
            <w:t>5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6F3" w:rsidRDefault="00EE46F3" w:rsidP="00CE6B7C">
      <w:pPr>
        <w:spacing w:after="0" w:line="240" w:lineRule="auto"/>
      </w:pPr>
      <w:r>
        <w:separator/>
      </w:r>
    </w:p>
  </w:footnote>
  <w:footnote w:type="continuationSeparator" w:id="0">
    <w:p w:rsidR="00EE46F3" w:rsidRDefault="00EE46F3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13F60"/>
    <w:rsid w:val="0001626C"/>
    <w:rsid w:val="000370C9"/>
    <w:rsid w:val="00067394"/>
    <w:rsid w:val="00073B7C"/>
    <w:rsid w:val="0009553A"/>
    <w:rsid w:val="000B4DEA"/>
    <w:rsid w:val="000D0A63"/>
    <w:rsid w:val="000D7DBE"/>
    <w:rsid w:val="000E37F2"/>
    <w:rsid w:val="000E4D1B"/>
    <w:rsid w:val="000E72F9"/>
    <w:rsid w:val="000F571B"/>
    <w:rsid w:val="00110B58"/>
    <w:rsid w:val="00111BFD"/>
    <w:rsid w:val="00120B8D"/>
    <w:rsid w:val="001247BF"/>
    <w:rsid w:val="0012501B"/>
    <w:rsid w:val="0014329D"/>
    <w:rsid w:val="00152242"/>
    <w:rsid w:val="00161128"/>
    <w:rsid w:val="00187B66"/>
    <w:rsid w:val="001917EB"/>
    <w:rsid w:val="00193767"/>
    <w:rsid w:val="00195C8D"/>
    <w:rsid w:val="0019652E"/>
    <w:rsid w:val="001B1871"/>
    <w:rsid w:val="001B789E"/>
    <w:rsid w:val="001E375F"/>
    <w:rsid w:val="001F76B8"/>
    <w:rsid w:val="00211F4F"/>
    <w:rsid w:val="0022592F"/>
    <w:rsid w:val="00231ECE"/>
    <w:rsid w:val="002411CD"/>
    <w:rsid w:val="00280E2B"/>
    <w:rsid w:val="002950D7"/>
    <w:rsid w:val="002E5D32"/>
    <w:rsid w:val="0031216B"/>
    <w:rsid w:val="0033048D"/>
    <w:rsid w:val="003320DC"/>
    <w:rsid w:val="003364E7"/>
    <w:rsid w:val="00347531"/>
    <w:rsid w:val="00361C6C"/>
    <w:rsid w:val="003670F6"/>
    <w:rsid w:val="00384FF4"/>
    <w:rsid w:val="003B147D"/>
    <w:rsid w:val="003E36BC"/>
    <w:rsid w:val="003F0A2F"/>
    <w:rsid w:val="003F0E00"/>
    <w:rsid w:val="00404668"/>
    <w:rsid w:val="00411676"/>
    <w:rsid w:val="00424401"/>
    <w:rsid w:val="00471995"/>
    <w:rsid w:val="00472BF0"/>
    <w:rsid w:val="00482506"/>
    <w:rsid w:val="004A47BB"/>
    <w:rsid w:val="004B600A"/>
    <w:rsid w:val="004C5729"/>
    <w:rsid w:val="004C64B0"/>
    <w:rsid w:val="004D0380"/>
    <w:rsid w:val="004E2415"/>
    <w:rsid w:val="004E3D3E"/>
    <w:rsid w:val="00500FD6"/>
    <w:rsid w:val="00516E98"/>
    <w:rsid w:val="00524D36"/>
    <w:rsid w:val="00527A1F"/>
    <w:rsid w:val="005605A2"/>
    <w:rsid w:val="005727E1"/>
    <w:rsid w:val="005A426C"/>
    <w:rsid w:val="005B27B7"/>
    <w:rsid w:val="005B44D8"/>
    <w:rsid w:val="005F5004"/>
    <w:rsid w:val="006179B6"/>
    <w:rsid w:val="00622266"/>
    <w:rsid w:val="00627628"/>
    <w:rsid w:val="00630C78"/>
    <w:rsid w:val="006312D4"/>
    <w:rsid w:val="006332A4"/>
    <w:rsid w:val="0064293F"/>
    <w:rsid w:val="00654433"/>
    <w:rsid w:val="00656E8E"/>
    <w:rsid w:val="00667BFC"/>
    <w:rsid w:val="00672F9D"/>
    <w:rsid w:val="006B04AF"/>
    <w:rsid w:val="006C09BF"/>
    <w:rsid w:val="007114EF"/>
    <w:rsid w:val="0072024B"/>
    <w:rsid w:val="0072766F"/>
    <w:rsid w:val="007309FF"/>
    <w:rsid w:val="00735829"/>
    <w:rsid w:val="007420E4"/>
    <w:rsid w:val="0074650B"/>
    <w:rsid w:val="00765CA5"/>
    <w:rsid w:val="007708A4"/>
    <w:rsid w:val="007819EA"/>
    <w:rsid w:val="007835EC"/>
    <w:rsid w:val="007C55B8"/>
    <w:rsid w:val="007C6B47"/>
    <w:rsid w:val="007D4F0A"/>
    <w:rsid w:val="007E5254"/>
    <w:rsid w:val="007F73A7"/>
    <w:rsid w:val="00802E28"/>
    <w:rsid w:val="008332C5"/>
    <w:rsid w:val="00843669"/>
    <w:rsid w:val="00846A18"/>
    <w:rsid w:val="0085186D"/>
    <w:rsid w:val="008527AB"/>
    <w:rsid w:val="00853F74"/>
    <w:rsid w:val="00867B1E"/>
    <w:rsid w:val="0087102D"/>
    <w:rsid w:val="00887767"/>
    <w:rsid w:val="00893744"/>
    <w:rsid w:val="008B6984"/>
    <w:rsid w:val="008C25B5"/>
    <w:rsid w:val="008D6AFF"/>
    <w:rsid w:val="008E2DD9"/>
    <w:rsid w:val="008E3EA9"/>
    <w:rsid w:val="008E6D17"/>
    <w:rsid w:val="0090323C"/>
    <w:rsid w:val="00904273"/>
    <w:rsid w:val="00915BF0"/>
    <w:rsid w:val="00921D9E"/>
    <w:rsid w:val="00923F02"/>
    <w:rsid w:val="009414DE"/>
    <w:rsid w:val="00941744"/>
    <w:rsid w:val="00951485"/>
    <w:rsid w:val="00980465"/>
    <w:rsid w:val="009857E1"/>
    <w:rsid w:val="009933CE"/>
    <w:rsid w:val="009954C1"/>
    <w:rsid w:val="0099686A"/>
    <w:rsid w:val="009A0BF0"/>
    <w:rsid w:val="009A0CB4"/>
    <w:rsid w:val="009B38FA"/>
    <w:rsid w:val="009D40B9"/>
    <w:rsid w:val="009D4B87"/>
    <w:rsid w:val="009D64C8"/>
    <w:rsid w:val="009F160C"/>
    <w:rsid w:val="00A02020"/>
    <w:rsid w:val="00A0296A"/>
    <w:rsid w:val="00A35196"/>
    <w:rsid w:val="00A379EB"/>
    <w:rsid w:val="00A54D74"/>
    <w:rsid w:val="00A904D7"/>
    <w:rsid w:val="00AA786A"/>
    <w:rsid w:val="00AB21EA"/>
    <w:rsid w:val="00AC0A86"/>
    <w:rsid w:val="00AC4286"/>
    <w:rsid w:val="00AF4CAE"/>
    <w:rsid w:val="00B159E5"/>
    <w:rsid w:val="00B27AEA"/>
    <w:rsid w:val="00B461F1"/>
    <w:rsid w:val="00B65BBB"/>
    <w:rsid w:val="00B713A8"/>
    <w:rsid w:val="00B86BFF"/>
    <w:rsid w:val="00B9274C"/>
    <w:rsid w:val="00BA2DE9"/>
    <w:rsid w:val="00BA3089"/>
    <w:rsid w:val="00BC1244"/>
    <w:rsid w:val="00BC1C79"/>
    <w:rsid w:val="00BD1E1C"/>
    <w:rsid w:val="00BD61D6"/>
    <w:rsid w:val="00BF2F3F"/>
    <w:rsid w:val="00C05E0B"/>
    <w:rsid w:val="00C0738B"/>
    <w:rsid w:val="00C107EE"/>
    <w:rsid w:val="00C17F93"/>
    <w:rsid w:val="00C2055D"/>
    <w:rsid w:val="00C44A38"/>
    <w:rsid w:val="00C62ADE"/>
    <w:rsid w:val="00C67988"/>
    <w:rsid w:val="00C67A24"/>
    <w:rsid w:val="00C82345"/>
    <w:rsid w:val="00C86466"/>
    <w:rsid w:val="00C9401D"/>
    <w:rsid w:val="00C94610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748D"/>
    <w:rsid w:val="00D32650"/>
    <w:rsid w:val="00D35A33"/>
    <w:rsid w:val="00D41BC0"/>
    <w:rsid w:val="00D60837"/>
    <w:rsid w:val="00D930A9"/>
    <w:rsid w:val="00D9489C"/>
    <w:rsid w:val="00DA5C28"/>
    <w:rsid w:val="00DB4B0E"/>
    <w:rsid w:val="00DD7D93"/>
    <w:rsid w:val="00DF3052"/>
    <w:rsid w:val="00E00282"/>
    <w:rsid w:val="00E306F9"/>
    <w:rsid w:val="00E312B5"/>
    <w:rsid w:val="00E3660E"/>
    <w:rsid w:val="00E43E56"/>
    <w:rsid w:val="00E74904"/>
    <w:rsid w:val="00E96B82"/>
    <w:rsid w:val="00EB1FA7"/>
    <w:rsid w:val="00EB6AE6"/>
    <w:rsid w:val="00EE46F3"/>
    <w:rsid w:val="00EF57AA"/>
    <w:rsid w:val="00F01301"/>
    <w:rsid w:val="00F43969"/>
    <w:rsid w:val="00F554A9"/>
    <w:rsid w:val="00F83100"/>
    <w:rsid w:val="00FA1887"/>
    <w:rsid w:val="00FA30A2"/>
    <w:rsid w:val="00FA4C81"/>
    <w:rsid w:val="00FE3A4E"/>
    <w:rsid w:val="00FE5F1D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3/08/20130821-28-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3198</Words>
  <Characters>18230</Characters>
  <Application>Microsoft Office Word</Application>
  <DocSecurity>0</DocSecurity>
  <Lines>151</Lines>
  <Paragraphs>42</Paragraphs>
  <ScaleCrop>false</ScaleCrop>
  <Company>TURMOB</Company>
  <LinksUpToDate>false</LinksUpToDate>
  <CharactersWithSpaces>21386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157</cp:revision>
  <cp:lastPrinted>2013-06-18T05:31:00Z</cp:lastPrinted>
  <dcterms:created xsi:type="dcterms:W3CDTF">2013-06-03T05:31:00Z</dcterms:created>
  <dcterms:modified xsi:type="dcterms:W3CDTF">2013-08-21T05:28:00Z</dcterms:modified>
</cp:coreProperties>
</file>