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B713A8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>Sayı : 28742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C74A44" w:rsidRDefault="00C74A44" w:rsidP="00C74A44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C74A44">
        <w:rPr>
          <w:b/>
          <w:sz w:val="18"/>
          <w:szCs w:val="18"/>
          <w:u w:val="none"/>
        </w:rPr>
        <w:t xml:space="preserve">Bilgi Teknolojileri ve </w:t>
      </w:r>
      <w:r w:rsidRPr="00C74A44">
        <w:rPr>
          <w:b/>
          <w:sz w:val="18"/>
          <w:szCs w:val="18"/>
          <w:u w:val="none"/>
        </w:rPr>
        <w:t>İ</w:t>
      </w:r>
      <w:r w:rsidRPr="00C74A44">
        <w:rPr>
          <w:b/>
          <w:sz w:val="18"/>
          <w:szCs w:val="18"/>
          <w:u w:val="none"/>
        </w:rPr>
        <w:t>leti</w:t>
      </w:r>
      <w:r w:rsidRPr="00C74A44">
        <w:rPr>
          <w:b/>
          <w:sz w:val="18"/>
          <w:szCs w:val="18"/>
          <w:u w:val="none"/>
        </w:rPr>
        <w:t>ş</w:t>
      </w:r>
      <w:r w:rsidRPr="00C74A44">
        <w:rPr>
          <w:b/>
          <w:sz w:val="18"/>
          <w:szCs w:val="18"/>
          <w:u w:val="none"/>
        </w:rPr>
        <w:t>im Kurumundan:</w:t>
      </w:r>
    </w:p>
    <w:p w:rsidR="00C74A44" w:rsidRPr="00C74A44" w:rsidRDefault="00C74A44" w:rsidP="00C74A44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</w:p>
    <w:p w:rsidR="00C74A44" w:rsidRDefault="00C74A44" w:rsidP="00C74A44">
      <w:pPr>
        <w:pStyle w:val="2-OrtaBaslk"/>
        <w:spacing w:before="56" w:after="170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NTERNET ALAN ADLARI TEBL</w:t>
      </w:r>
      <w:r>
        <w:rPr>
          <w:sz w:val="18"/>
          <w:szCs w:val="18"/>
        </w:rPr>
        <w:t>İĞİ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7/11/2010</w:t>
      </w:r>
      <w:proofErr w:type="gramEnd"/>
      <w:r>
        <w:rPr>
          <w:sz w:val="18"/>
          <w:szCs w:val="18"/>
        </w:rPr>
        <w:t xml:space="preserve"> tarihli ve 27752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belirlenmesine,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stermelerine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uzant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, 15 inci,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ve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 bedeli: Bir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unun herhangi bir nedenle faaliyetine son vermesi veya verilmesi gibi durumlarda internet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sahiplerinin yeni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una transferi, bilgi ve belgelerin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unun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kaynaklanabilecek zararlar gibi durumlara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bedeli,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AA):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uzant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dondurma: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bilgilerin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tirilmesine, internet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na, devrine, feragatine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una transferine izin verilmeyip yenilenmesine izin verilmesi halini,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AAS):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uzant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sahibini,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Kanun: </w:t>
      </w:r>
      <w:proofErr w:type="gramStart"/>
      <w:r>
        <w:rPr>
          <w:sz w:val="18"/>
          <w:szCs w:val="18"/>
        </w:rPr>
        <w:t>5/11/2008</w:t>
      </w:r>
      <w:proofErr w:type="gramEnd"/>
      <w:r>
        <w:rPr>
          <w:sz w:val="18"/>
          <w:szCs w:val="18"/>
        </w:rPr>
        <w:t xml:space="preserve"> tarihli ve 5809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Kanununu,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(KK):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vuru, yenileme, iptal gibi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eden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Kurul: Bilgi Teknolojileri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Kurulunu,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Kurum: Bilgi Teknolojileri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Kurumunu,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Rehber: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sahibinin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 ile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bitti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tarihler gibi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Test izni: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ilgili sistemlerinin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ile teknik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dan uyumlu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test 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verilen izni,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.tr 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bilgi sistemi (TRAB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S):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uzant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sisteminin ve buna ait merkezi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letilmesine, rehberin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ncellenmesine ve rehberlik hizmetinin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veren,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 faaliyetlerin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sistemi,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S-KK: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hallerle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artlarda,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faaliyet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unu,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Yetki kodu: KK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her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en az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en fazla on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karakter uzunlu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 olan ve transfer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ifreyi,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netmelik: </w:t>
      </w:r>
      <w:proofErr w:type="gramStart"/>
      <w:r>
        <w:rPr>
          <w:sz w:val="18"/>
          <w:szCs w:val="18"/>
        </w:rPr>
        <w:t>7/11/2010</w:t>
      </w:r>
      <w:proofErr w:type="gramEnd"/>
      <w:r>
        <w:rPr>
          <w:sz w:val="18"/>
          <w:szCs w:val="18"/>
        </w:rPr>
        <w:t xml:space="preserve"> tarihli ve 27752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“İ</w:t>
      </w:r>
      <w:r>
        <w:rPr>
          <w:sz w:val="18"/>
          <w:szCs w:val="18"/>
        </w:rPr>
        <w:t>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”</w:t>
      </w:r>
      <w:r>
        <w:rPr>
          <w:sz w:val="18"/>
          <w:szCs w:val="18"/>
        </w:rPr>
        <w:t>ni,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ve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yer almayan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saltmalar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ilgili mevzuatta yer alan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saltmalar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n yeterlilik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  <w:r>
        <w:rPr>
          <w:b/>
          <w:sz w:val="18"/>
          <w:szCs w:val="18"/>
        </w:rPr>
        <w:t>ı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olmak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 bulunan taraflar Ekte belirtilen formu doldurarak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belgelendirirler.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Sunulan belgelerde KK aday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ve tam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mayan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reddedilir.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olarak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stermek isteyen ve Ekte belirtilen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taraflar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formunu doldurarak Kuruma sunar. Bu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yetmi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vence bedelini,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 bankac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bankadan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 itibariyle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kesin teminat mektubu olarak Kuruma sunar.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incelemeye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iki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Kurum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halinde yerinde inceleme yapar.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uygun bulunan taraflara test izni verilir.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uygun bulunmayan taraflara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esiyle birlikte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bilgilendirme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Uygun bulunmayan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giderilmesi halinde tekrar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Test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Test izni verilen KK aday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Test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edinece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bilgileri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ilerle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Test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sistemden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test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yapar,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Test izni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doksan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test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 tamamlar.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Kurum, KK aday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 kusur veya ihmalinden kaynaklanmayan sorunlar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verebilir.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Kurum test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tamamlayamayan aday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KK olmak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vuruyu reddeder, bu durumu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birlikte bildirir ve teminat mektubunu iade eder.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Faaliyete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lama ve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vurunun yenilenmesi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aday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test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tamamland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KK faaliyet belgesi verilir ve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KK listesi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KK bu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faaliyete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KK faaliyet belgesi, KK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Kurumun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itibaren otuz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dolmas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asgari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ay kala KK yeniden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yapabilir. Bu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test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letilmeyebilir.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kabul edilmesi halinde KK teminat mektubunu yenileyerek Kuruma sunar.</w:t>
      </w:r>
    </w:p>
    <w:p w:rsidR="00C74A44" w:rsidRDefault="00C74A44" w:rsidP="00C74A44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74A44" w:rsidRDefault="00C74A44" w:rsidP="00C74A44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Teknik altyap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kurallar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teknik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ve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teknik hususlarda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KK,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kendi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tirirken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sistemden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test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yapar.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Personel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tmekte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faaliyete uygun nitelik ve nicelikte idari ve teknik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kendi sistemlerinin ve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ile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herhangi bir ihlal veya ihlal </w:t>
      </w:r>
      <w:r>
        <w:rPr>
          <w:sz w:val="18"/>
          <w:szCs w:val="18"/>
        </w:rPr>
        <w:t>şü</w:t>
      </w:r>
      <w:r>
        <w:rPr>
          <w:sz w:val="18"/>
          <w:szCs w:val="18"/>
        </w:rPr>
        <w:t>phesi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KK derhal tedbir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bilgilendirir.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ne, gizlili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ine,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zarar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 da verme ihtimali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hallerde, Kurum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olarak durdurabilir. Bu durumda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S,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bilgilendirir.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KK internetin istikrar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proofErr w:type="spellStart"/>
      <w:r>
        <w:rPr>
          <w:sz w:val="18"/>
          <w:szCs w:val="18"/>
        </w:rPr>
        <w:t>operasyonel</w:t>
      </w:r>
      <w:proofErr w:type="spellEnd"/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bozacak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yapmaz.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KK kendi yetkili personeli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izin vermez.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KK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sahiplerine hizmetlerini </w:t>
      </w:r>
      <w:proofErr w:type="gramStart"/>
      <w:r>
        <w:rPr>
          <w:sz w:val="18"/>
          <w:szCs w:val="18"/>
        </w:rPr>
        <w:t>15/1/2004</w:t>
      </w:r>
      <w:proofErr w:type="gramEnd"/>
      <w:r>
        <w:rPr>
          <w:sz w:val="18"/>
          <w:szCs w:val="18"/>
        </w:rPr>
        <w:t xml:space="preserve"> tarihli ve 5070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mza Kanunu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yetkili elektronik sertifika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 marifetiyle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olan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teknolojiler kullanan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sunar.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KK kulland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cihaz ve sistemler ile sundu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hizmetlerin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gizlili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KK kulland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sistemlerinde ilgili mevzuatta yer alan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tedbirlerini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Verilerin saklanmas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payla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tahsisine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bilgi ve belgeler ile bu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log</w:t>
      </w:r>
      <w:proofErr w:type="spellEnd"/>
      <w:r>
        <w:rPr>
          <w:sz w:val="18"/>
          <w:szCs w:val="18"/>
        </w:rPr>
        <w:t>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5070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mza Kanununa uygun zaman damgas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korumak suretiyle faaliyeti boyunca saklar. KK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herhangi bir nedenle sona ermesinden sonra en az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bu bilgi ve belgelerin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KK bu bilgileri ve elektronik belgeleri en az saatte bir olacak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yedekler. KK bu yedekleri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kede ve en az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veriler kadar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artlarda saklar. KK kendi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kesindeki verilerin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kedeki verilerin 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sorumludur.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ilgili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bilgi ve belge isteme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devlet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talep edilen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 KK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ilgili kuruma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Bayi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 olan bayiler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tebilir. Ancak Kurum sadece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izin verir.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Bir bayi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bayi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ihlal edilmesi durumunda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ihlalin KK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kabul edilir.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KK, bayisinin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kendi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 ile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bilgisine yer verilmesini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 KK kendi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bayilerini ilan eder.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KK;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sahip olmak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kaybetmesi,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bilgilerin tam ve/veya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tespit edilmesi,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ihlal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tahsisinin iptaline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mahkeme veya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hallerinde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durum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derhal bilgi vermekle,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adli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veya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bir bilgi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durum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derhal bilgi vermekle,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bilgi ve belgeleri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taraflarla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mamakla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yerine getirmek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kullanmamakla,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Kurumun talep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bilgi ve belgeleri Kuruma derhal sunmakla,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titizlikle ve ivedilikle yerine getirmekle,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niyetli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tedbir almakla,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Transfer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tamamlamas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Kuruma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sundu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bilgi ve belgelerde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meydana gelmesi halinde,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yedi (7)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Kuruma bildirmekle,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Mart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ait faaliyet raporunu Kuruma sunmakla,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Devletin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strateji ve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uyum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uymakla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evrimi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nternet alan ad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vurusu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KK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formunun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doldurulmas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KK, elektronik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formunun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sahibinin;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tam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bilgiler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 bu bilgilerde meydana gelebilecek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iklikleri derhal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bildirece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ihlal etmeyece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hukuka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kullanmayaca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alternatif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buna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5)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transfer hallerinde bilgilendirilmesini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gereken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ve ilgili mevzuatta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iptal hallerinde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iptal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7)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ptal veya feragat durumunda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lehine bir hak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urmayaca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e-posta adresine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bildirimlerin kendisine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9)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kabul</w:t>
      </w:r>
      <w:proofErr w:type="gramEnd"/>
      <w:r>
        <w:rPr>
          <w:sz w:val="18"/>
          <w:szCs w:val="18"/>
        </w:rPr>
        <w:t>, beyan ve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etmesini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sahibine;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KK 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bilgilerinin;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</w:t>
      </w:r>
      <w:proofErr w:type="gramEnd"/>
      <w:r>
        <w:rPr>
          <w:sz w:val="18"/>
          <w:szCs w:val="18"/>
        </w:rPr>
        <w:t>. Hangi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ii</w:t>
      </w:r>
      <w:proofErr w:type="spellEnd"/>
      <w:r>
        <w:rPr>
          <w:sz w:val="18"/>
          <w:szCs w:val="18"/>
        </w:rPr>
        <w:t>. Yetkili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adli makamlara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Veri toplaman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ntemi, hukuki sebebi ve muhtemel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verilerini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bilgilerin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ve ihtiyari olan bilgiler,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konusunda</w:t>
      </w:r>
      <w:proofErr w:type="gramEnd"/>
      <w:r>
        <w:rPr>
          <w:sz w:val="18"/>
          <w:szCs w:val="18"/>
        </w:rPr>
        <w:t xml:space="preserve"> bilgi vermekle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sahibinden rehberde yer alacak bilgileri talep eder.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KK,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derhal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halinde kontroller yapabilir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vuruyu reddedebilir. KK,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ret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konusunda derhal bilgilendirir.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(5)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girilir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KK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derhal bilgilendirilir.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KK,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tahsisi yaparken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sahibini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hizmeti almak zorunda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rakmaz.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Belgeli tahsis gerektiren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 uygulanacak usul ve esaslar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 KK belirlenen belgelerin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 kontrol eder ve elektronik ortamda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iletir. Bu iletim belge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yapan KK yetkililerinin 5070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mza Kanununda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imzalanarak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KK,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recinde,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AAS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yetkilisi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beyan edilen bilgilerin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kredi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havale gibi mekanizmalarda yer alan bilgiler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r.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yetkilisi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taleplerinde KK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rulamay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(9) KK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recinde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beyan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e-posta adreslerini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maddi hatalar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tahsisine kadar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zeltilebilir.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 sonunda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iletilen ve tahsisi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maddi hata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TRAB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e</w:t>
      </w:r>
      <w:proofErr w:type="spellEnd"/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nderilecek veriler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mevzuata uygun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 kontrol ettikten sonra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iletir. KK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ile birlikte rehberde yer alacak verileri ve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istenebilecek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bilgi ve elektronik belgeleri de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 Bu bilgi ve belgelerde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KK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ncel hallerini derhal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KK transferi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yetki kodu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tahsisi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nternet alan ad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sahiplerinin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</w:t>
      </w:r>
      <w:r>
        <w:rPr>
          <w:b/>
          <w:sz w:val="18"/>
          <w:szCs w:val="18"/>
        </w:rPr>
        <w:t>â</w:t>
      </w:r>
      <w:r>
        <w:rPr>
          <w:b/>
          <w:sz w:val="18"/>
          <w:szCs w:val="18"/>
        </w:rPr>
        <w:t>yetlerinin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sahibinin veya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hususlar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yetlerini kabul eder. KK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yetin elektronik ortamda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gelen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yetleri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cevap alamayan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yetlerini Kuruma bildirir.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KK,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iletilen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yetlerin tahsisine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toplam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KK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yetleri almak ve analiz etmek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sistemleri kurar. Bu sistemler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asgari her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ayda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verileri analiz ederek sistematik problemleri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ve bu problemleri giderir.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 11 inci maddede yer alan verilerin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yetlerin bildirilmesi ve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talep edilmez.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nternet alan ad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sahiplerinin bilgilendirilmesi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lere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bilgileri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hizmetleri sundu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Kurumun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ekliyle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yasal/a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adresi, e-posta adresi, telefon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faks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tahsislerinin ne kadar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tamamlanabilece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tahsisi, iptali, yenilemesi, transferi gibi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lere</w:t>
      </w:r>
      <w:proofErr w:type="spellEnd"/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sahiplerine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merkezi bilgileri,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</w:t>
      </w:r>
      <w:proofErr w:type="spellEnd"/>
      <w:r>
        <w:rPr>
          <w:sz w:val="18"/>
          <w:szCs w:val="18"/>
        </w:rPr>
        <w:t xml:space="preserve"> etkileyen mevzuat, politika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iklikleri veya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talep edilmesi halinde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 xml:space="preserve"> ilgilendiren konularda mevzuatta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hizmetlerini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hizmetlerle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olarak sunmas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hizmetlerin 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KK,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lere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bilgileri asgari e-posta ile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inin kendi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bilgiler,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(f) ve (g) bentlerinde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bilgiler.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mazl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k </w:t>
      </w:r>
      <w:r>
        <w:rPr>
          <w:b/>
          <w:sz w:val="18"/>
          <w:szCs w:val="18"/>
        </w:rPr>
        <w:t>çö</w:t>
      </w:r>
      <w:r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 mekanizmas</w:t>
      </w:r>
      <w:r>
        <w:rPr>
          <w:b/>
          <w:sz w:val="18"/>
          <w:szCs w:val="18"/>
        </w:rPr>
        <w:t>ı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Kurumun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 konu olan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boyunca dondurulur.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Rehber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 rehberdeki bilgilerin ve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spellEnd"/>
      <w:r>
        <w:rPr>
          <w:sz w:val="18"/>
          <w:szCs w:val="18"/>
        </w:rPr>
        <w:t xml:space="preserve"> talep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KK rehberdeki bilgilerin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 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bir bilgi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bilgilerin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kontrol eder ve rehberde gerekli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ncellemeleri derhal yapar. Bu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durumlarda ilgili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dondurulmas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bilgi verir.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KK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lerden</w:t>
      </w:r>
      <w:proofErr w:type="spellEnd"/>
      <w:r>
        <w:rPr>
          <w:sz w:val="18"/>
          <w:szCs w:val="18"/>
        </w:rPr>
        <w:t xml:space="preserve"> rehberdeki bilgilerini kontrol etmelerini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varsa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ncellemelerini talep eder. Bu talebi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ocak ve haziran 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kendisinden hizmet alan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lere</w:t>
      </w:r>
      <w:proofErr w:type="spellEnd"/>
      <w:r>
        <w:rPr>
          <w:sz w:val="18"/>
          <w:szCs w:val="18"/>
        </w:rPr>
        <w:t xml:space="preserve"> iletir. KK,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bilgilerin </w:t>
      </w:r>
      <w:r>
        <w:rPr>
          <w:sz w:val="18"/>
          <w:szCs w:val="18"/>
        </w:rPr>
        <w:lastRenderedPageBreak/>
        <w:t>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unun tespiti halinde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iptal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ilgili talep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bildirir.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talep asgari e-posta yoluyla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KK bilgi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halinde derhal kendi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ncelleme yapar ve bunu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KK rehberde yer alan bilgilerin istek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e-posta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ndermek, ticari faaliyette bulunmak gibi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mevcut teknolojik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nlar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Rehberde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bilgilere yer verilir: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Tahsisli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Birincil ve ikincil ad sunucular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isimleri,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KK bilgileri,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tahsis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tahsis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, idari, teknik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sorumlular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e-posta adresleri,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Varsa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durumu ve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dondurulma durumuna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Rehber bilgisinin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 tarihi.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talep etmesi halinde e-posta adresi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ö</w:t>
      </w:r>
      <w:r>
        <w:rPr>
          <w:sz w:val="18"/>
          <w:szCs w:val="18"/>
        </w:rPr>
        <w:t>rnekalanad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>@</w:t>
      </w:r>
      <w:proofErr w:type="spellStart"/>
      <w:r>
        <w:rPr>
          <w:sz w:val="18"/>
          <w:szCs w:val="18"/>
        </w:rPr>
        <w:t>kayitkurulusu</w:t>
      </w:r>
      <w:proofErr w:type="spellEnd"/>
      <w:r>
        <w:rPr>
          <w:sz w:val="18"/>
          <w:szCs w:val="18"/>
        </w:rPr>
        <w:t>.com.tr gibi bir adres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adrese gelen e-postalar KK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ait e-posta adresine iletilir.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e-posta adresi istek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e-postalara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korunur.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(9)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talep etmesi halinde telefon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faks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adresi de rehberde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KK bu maddede belirtilen hizmetler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almaz.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cretler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28 inci maddesi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cretlerin Kuruma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denmesi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Kurum,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cretlerini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dan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demeli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 on bin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 etme, yenileme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lemlere ait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Bu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mesi halinde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S,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elektronik ortamda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mesi halinde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crete tabi bir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transferinde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verilmez.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 Kuruma gelir olarak kaydedilir ve geri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faaliyetine son vermesi veya verilmesi durumunda ilgili KK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lara</w:t>
      </w:r>
      <w:proofErr w:type="spellEnd"/>
      <w:r>
        <w:rPr>
          <w:sz w:val="18"/>
          <w:szCs w:val="18"/>
        </w:rPr>
        <w:t xml:space="preserve"> transferi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akabinde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maliyet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dan</w:t>
      </w:r>
      <w:proofErr w:type="spellEnd"/>
      <w:r>
        <w:rPr>
          <w:sz w:val="18"/>
          <w:szCs w:val="18"/>
        </w:rPr>
        <w:t xml:space="preserve"> tahsil edilir.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Sat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, devir ve feragat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mesinden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sonra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mesi ile birlikte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tirilebilir. Bu durumda KK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sahibinden talep eder;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olan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gaipli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gaiplik karinesi gibi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sahibinin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yasal miras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yetkili makamlardan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olan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ilerin, bu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me, devralma gibi sebeplerle devredecek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devralmay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ispat eden belgeler,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ve marka/patent sahibi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ek/t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bu marka/patente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devredecek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marka/patent ile ilgili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devrettiklerini ispat eden belgeler,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olan fikir/sanat eserlerinin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tescilini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ek/t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bu fikir/sanat eserlerine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devredecek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fikir/sanat eserleri ile ilgili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devrettiklerini ispat eden belgeler.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ilgili formun tam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olarak doldurulmas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KK bilgi ve belgeleri kontrol eder,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 tamamlar ve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veya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rultusunda ilgili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tirir. KK, eski ve yeni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lere</w:t>
      </w:r>
      <w:proofErr w:type="spellEnd"/>
      <w:r>
        <w:rPr>
          <w:sz w:val="18"/>
          <w:szCs w:val="18"/>
        </w:rPr>
        <w:t xml:space="preserve"> asgari e-posta yoluyla bilgi verir.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veya devredilen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tahsis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AAS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dan</w:t>
      </w:r>
      <w:proofErr w:type="spellEnd"/>
      <w:r>
        <w:rPr>
          <w:sz w:val="18"/>
          <w:szCs w:val="18"/>
        </w:rPr>
        <w:t xml:space="preserve"> feragat etme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sahiptir. Feragat edilen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itibaren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iki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durdurulur.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 yenilenir. Aksi halde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yeniden tahsise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transfer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Genel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</w:t>
      </w:r>
      <w:proofErr w:type="spellEnd"/>
      <w:r>
        <w:rPr>
          <w:sz w:val="18"/>
          <w:szCs w:val="18"/>
        </w:rPr>
        <w:t>, talep etmeleri halinde, hizmet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tirebilirler.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Mevcut durumda hizmet vermekte olan KK verici KK,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transfer edilmek istendi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yeni KK ise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KK olarak isimlendirilir.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Transfer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Kurumun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tahsis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cretidir.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(4) Transfer neticesinde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resine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eklenir.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transfer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cretini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Verici KK transfer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talep etmez.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verici KK birden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sahip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tek bir seferde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transfer edebilmesi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Transfer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Transfer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izlenir;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Hizmet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tirmek isteyen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AAS verici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yetki kodunu talep eder.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Talebi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teakip verici KK yetki kodunu derhal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sunar.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bu kodu kullanarak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KK kendisine gelen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vuruyu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Transfer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 talebi verici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iletir.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Verici KK yirmi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saat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transfer talebine cevap verir.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cevap verilmeyen talepler kabul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Verici KK ancak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 belirlenen durumlarda transferi reddedebilir. Bu cevapta reddin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de bildirilir.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Durum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>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 xml:space="preserve"> bilgilendirir.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yetki koduna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az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 kadar kolay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internet sayfalar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KK,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borcu bulunma ve benzeri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elerle bu koda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 engelleyemez ve transfer talebini reddedemez.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Transferin reddi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verici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kendisine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kodun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memesi halinde transferi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ilk tahsisinin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verici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transfer edilmesinin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bitmesine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az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kalm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dondurulmu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gelen transfer talebini reddeder.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ret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eleri verici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faaliyetine son vermesi veya son verilmesi durumunda uygulanmaz.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ret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 maddesinin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uygulanmaz.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Zorunlu transfer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Bir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faaliyetine son vermesi veya son verilmesi durumunda zorunlu transfer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Faaliyetine son veren veya verilen KK,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lara</w:t>
      </w:r>
      <w:proofErr w:type="spellEnd"/>
      <w:r>
        <w:rPr>
          <w:sz w:val="18"/>
          <w:szCs w:val="18"/>
        </w:rPr>
        <w:t xml:space="preserve"> ait bilgileri ve kendisine ait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Kurumca belirlenen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evede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S-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S-KK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</w:t>
      </w:r>
      <w:proofErr w:type="spellEnd"/>
      <w:r>
        <w:rPr>
          <w:sz w:val="18"/>
          <w:szCs w:val="18"/>
        </w:rPr>
        <w:t xml:space="preserve"> asgari e-posta yoluyla;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Yeni bir KK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meleri ve transfer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S-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dan</w:t>
      </w:r>
      <w:proofErr w:type="spellEnd"/>
      <w:r>
        <w:rPr>
          <w:sz w:val="18"/>
          <w:szCs w:val="18"/>
        </w:rPr>
        <w:t xml:space="preserve"> hizmet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boyunca transfer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herhangi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yapamayacaklar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</w:t>
      </w:r>
      <w:proofErr w:type="gramEnd"/>
      <w:r>
        <w:rPr>
          <w:sz w:val="18"/>
          <w:szCs w:val="18"/>
        </w:rPr>
        <w:t xml:space="preserve"> bilgilendirir.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S-KK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yeni bir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transferinde verici KK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yapar ancak yenileme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yapmaz.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Yeni Seviye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</w:p>
    <w:p w:rsidR="00C74A44" w:rsidRDefault="00C74A44" w:rsidP="00C74A44">
      <w:pPr>
        <w:pStyle w:val="2-OrtaBaslk"/>
        <w:spacing w:line="240" w:lineRule="exact"/>
        <w:ind w:firstLine="566"/>
        <w:jc w:val="both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tahsisi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MADDE 27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ilk tahsis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a.gov.tr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adresine,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a.edu.tr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adresine,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</w:t>
      </w:r>
      <w:proofErr w:type="spellStart"/>
      <w:r>
        <w:rPr>
          <w:sz w:val="18"/>
          <w:szCs w:val="18"/>
        </w:rPr>
        <w:t>tsk</w:t>
      </w:r>
      <w:proofErr w:type="spellEnd"/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adresine,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a.bel.tr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adresine,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</w:t>
      </w:r>
      <w:proofErr w:type="spellStart"/>
      <w:r>
        <w:rPr>
          <w:sz w:val="18"/>
          <w:szCs w:val="18"/>
        </w:rPr>
        <w:t>pol</w:t>
      </w:r>
      <w:proofErr w:type="spellEnd"/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adresine,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a.k12.tr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adresine,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</w:t>
      </w:r>
      <w:proofErr w:type="spellStart"/>
      <w:r>
        <w:rPr>
          <w:sz w:val="18"/>
          <w:szCs w:val="18"/>
        </w:rPr>
        <w:t>org.tr</w:t>
      </w:r>
      <w:proofErr w:type="spellEnd"/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adresine,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ü</w:t>
      </w:r>
      <w:r>
        <w:rPr>
          <w:sz w:val="18"/>
          <w:szCs w:val="18"/>
        </w:rPr>
        <w:t>cretsiz</w:t>
      </w:r>
      <w:proofErr w:type="gramEnd"/>
      <w:r>
        <w:rPr>
          <w:sz w:val="18"/>
          <w:szCs w:val="18"/>
        </w:rPr>
        <w:t xml:space="preserve"> olarak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(f) bendinde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</w:t>
      </w:r>
      <w:proofErr w:type="spellStart"/>
      <w:r>
        <w:rPr>
          <w:sz w:val="18"/>
          <w:szCs w:val="18"/>
        </w:rPr>
        <w:t>org.tr</w:t>
      </w:r>
      <w:proofErr w:type="spellEnd"/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talep etmesi ve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gramStart"/>
      <w:r>
        <w:rPr>
          <w:sz w:val="18"/>
          <w:szCs w:val="18"/>
        </w:rPr>
        <w:t>Kamu kurumu</w:t>
      </w:r>
      <w:proofErr w:type="gramEnd"/>
      <w:r>
        <w:rPr>
          <w:sz w:val="18"/>
          <w:szCs w:val="18"/>
        </w:rPr>
        <w:t xml:space="preserve">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olan meslek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Kamuya yararl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dernek veya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c) </w:t>
      </w:r>
      <w:r>
        <w:rPr>
          <w:sz w:val="18"/>
          <w:szCs w:val="18"/>
        </w:rPr>
        <w:t>İşç</w:t>
      </w:r>
      <w:r>
        <w:rPr>
          <w:sz w:val="18"/>
          <w:szCs w:val="18"/>
        </w:rPr>
        <w:t>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meslek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niteliklerinden</w:t>
      </w:r>
      <w:proofErr w:type="gramEnd"/>
      <w:r>
        <w:rPr>
          <w:sz w:val="18"/>
          <w:szCs w:val="18"/>
        </w:rPr>
        <w:t xml:space="preserve"> birini haiz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belgelendirmesi gerekir.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bentlerinde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ilgili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bendinde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tarafa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nlendirilen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lamaz ve devredilemez. Bu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nlendirilir. Bu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internet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tahsis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marka sahipleri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Marka sahipleri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sonra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sait olan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ilk gelen ilk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kural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Yeni ikinci seviye internet alan ad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a.yeni.tr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yeni ikinci seviye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tahsise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belgesiz olarak tahsis edilmesi halinde;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lk olarak marka sahipleri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letilir,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sait olan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ilk gelen ilk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kural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a.yeni.tr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yeni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tahsise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adlar listesine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adlara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Marka sahipleri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nceli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ilk tahsisi ve yeni ikinci seviye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marka sahiplerine ilgili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tahsis etmeleri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 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rma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vatanda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 izlenir: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 her bir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kaybedilmesi hali de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iade edilmez.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belirlenir ve Kuruma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bir ay boyunca devam eder. Teklif sahiplerinin kimlikleri gizli,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tutulur.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Fiyat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mevcut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onu kadar olur,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surat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 yuvarlan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Fiyat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 yapabilir,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teklif sahibi fiyat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yapamaz.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teklif eden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teklif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der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tahsis edilir.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teklif edilen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denmemesi durumunda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teklifler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bir KK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erek transfer yapar. Bu transferde 25 inci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(a), (b) ve (c) bentlerindeki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uygulanmaz.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KK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spellEnd"/>
      <w:r>
        <w:rPr>
          <w:sz w:val="18"/>
          <w:szCs w:val="18"/>
        </w:rPr>
        <w:t xml:space="preserve"> transfer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talep etmez. Transferi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tirilmeyen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yeniden tahsise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ilk gelen ilk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kural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C74A44" w:rsidRDefault="00C74A44" w:rsidP="00C74A4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nternet alan ad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depolama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Sadece son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KK,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olan elektronik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otomatize</w:t>
      </w:r>
      <w:proofErr w:type="spellEnd"/>
      <w:r>
        <w:rPr>
          <w:sz w:val="18"/>
          <w:szCs w:val="18"/>
        </w:rPr>
        <w:t xml:space="preserve">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kullanarak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devir ve benzeri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kendi ve/veya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kisi bulunan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taraflar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ve/veya tahsisi yapmak suretiyle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AA depolayamaz. KK,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depolama yapmamas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durumlarda depolanan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iptal edilir.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faaliyetine son verilir. Bu durumda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herhangi bir geri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ve/veya KK ile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kisi bulunan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bizzat kendilerinin kullanaca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sahiplerinin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Bilgi ve belge talepleri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KK;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bilgilerini (IP adresi, zaman),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 bilgilerini (tahsis, yenileme,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ncelleme, transfer ve benzeri),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bilgilerini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bilgi, belge ve talepleri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ilgili mevzuatta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boyunca saklar.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KK,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bir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veya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ait bilgilere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yetkisine sahip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adli makamlar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taleplerini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Belgeli tahsis edilen alt alan adlar</w:t>
      </w:r>
      <w:r>
        <w:rPr>
          <w:b/>
          <w:sz w:val="18"/>
          <w:szCs w:val="18"/>
        </w:rPr>
        <w:t>ı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belirtilen belgeli tahsis edilecek alt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mercii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tahsis edilir.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Kurum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halinde belgeli alt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yapar.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Tahsise kapal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tahsise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adlar listesi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Mevzuata, kamu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zenine,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ine, genel ahlaka,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ve emniyete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 gibi sebeplerle tahsisine izin verilmeyen adlar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nyadaki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seviye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ikinci seviye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Tahsise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Adlar Listesine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Tahsise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Adlar Listesi;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Tarihi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halka mal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adlardan,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isimlerinden,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aldatmaya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rlanabilecek finans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devlet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 sahte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tahsisini zorla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bank, banka, finans,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gibi adlardan,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</w:t>
      </w:r>
      <w:proofErr w:type="gramEnd"/>
      <w:r>
        <w:rPr>
          <w:sz w:val="18"/>
          <w:szCs w:val="18"/>
        </w:rPr>
        <w:t>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Denetim ve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Kurum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sen</w:t>
      </w:r>
      <w:proofErr w:type="spellEnd"/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denetlemeye yetkilidir.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denetimler sonucunda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veya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Kurum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Kurum, ihlalin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zarar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ihlal neticesinde herhangi bir ekonomik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elde edilip edilmemesi ve bu kazanc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tekrarlanan veya devam eden ihlalin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kurallara uyum, iyi niyet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bildirim gibi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alarak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etkisini belirler.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etkisinin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bu durum Kurum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etkisinin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Kurum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rmesi halinde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faaliyetini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Faaliyeti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KK,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tahsisi ve yenilemesi yapamaz ve transferde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KK olamaz ancak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devam ettirir. Bu durum Kurum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Kurum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rmesi halinde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faaliyetine son verir. Faaliyetine son verilen KK;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Kurum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duyurulur ve KK listesinden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Yeni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kabul edemez, transferde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KK olamaz ve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transfer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derhal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Zaman bilgisi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Bir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herhangi bir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kta,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sisteminde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zaman bilgisi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 bulunmayan haller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bulunmayan hallerde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Belgeli olarak tahsis edilmekteyken belgesiz tahsise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ncesinde belgeli olarak tahsis edilen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.com.tr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.net.tr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</w:t>
      </w:r>
      <w:proofErr w:type="spellStart"/>
      <w:r>
        <w:rPr>
          <w:sz w:val="18"/>
          <w:szCs w:val="18"/>
        </w:rPr>
        <w:t>org.tr</w:t>
      </w:r>
      <w:proofErr w:type="spellEnd"/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alt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mesi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belgesiz olarak tahsis edilmeye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bir ay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AAS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ortamda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talepte bulunur.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inden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an itibariyle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sait olan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birden fazla talep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ilgili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tahsise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bu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daha sonra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Tek talep gelen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ve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talep gelmeyen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mesi ile birlikte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ilk gelen ilk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kural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tahsis edilir.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KK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proofErr w:type="spellEnd"/>
      <w:r>
        <w:rPr>
          <w:b/>
          <w:sz w:val="18"/>
          <w:szCs w:val="18"/>
        </w:rPr>
        <w:t xml:space="preserve"> olmayan </w:t>
      </w:r>
      <w:proofErr w:type="spellStart"/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AAS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ler</w:t>
      </w:r>
      <w:proofErr w:type="spellEnd"/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 itibariyle herhangi bir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bulunmayan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</w:t>
      </w:r>
      <w:proofErr w:type="spellEnd"/>
      <w:r>
        <w:rPr>
          <w:sz w:val="18"/>
          <w:szCs w:val="18"/>
        </w:rPr>
        <w:t xml:space="preserve">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kendilerine bir KK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erek ilgili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transfer eder. Transferi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tirilmeyen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tahsis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sonuna kadar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mda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ancak KK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Tahsis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resinin sonunda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yeniden tahsise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Mevcut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leyi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teki internet alan adlar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yetki kodu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Orta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Teknik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nyesinde bulunan </w:t>
      </w:r>
      <w:proofErr w:type="spellStart"/>
      <w:r>
        <w:rPr>
          <w:sz w:val="18"/>
          <w:szCs w:val="18"/>
        </w:rPr>
        <w:t>Nic</w:t>
      </w:r>
      <w:proofErr w:type="spellEnd"/>
      <w:r>
        <w:rPr>
          <w:sz w:val="18"/>
          <w:szCs w:val="18"/>
        </w:rPr>
        <w:t>.tr (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netimi)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proofErr w:type="gramStart"/>
      <w:r>
        <w:rPr>
          <w:sz w:val="18"/>
          <w:szCs w:val="18"/>
        </w:rPr>
        <w:t>Nic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</w:rPr>
        <w:t>tr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proofErr w:type="gram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tahsis</w:t>
      </w:r>
      <w:proofErr w:type="gramEnd"/>
      <w:r>
        <w:rPr>
          <w:sz w:val="18"/>
          <w:szCs w:val="18"/>
        </w:rPr>
        <w:t xml:space="preserve">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lara</w:t>
      </w:r>
      <w:proofErr w:type="spellEnd"/>
      <w:r>
        <w:rPr>
          <w:sz w:val="18"/>
          <w:szCs w:val="18"/>
        </w:rPr>
        <w:t xml:space="preserve"> ait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bilgilerin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yetki kodu da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iletilir.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TRAB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in</w:t>
      </w:r>
      <w:proofErr w:type="spellEnd"/>
      <w:r>
        <w:rPr>
          <w:b/>
          <w:sz w:val="18"/>
          <w:szCs w:val="18"/>
        </w:rPr>
        <w:t xml:space="preserve"> faaliyete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mesi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bu durum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 ve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in;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a)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, 5 inci,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, 9 uncu, 10 uncu,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, 20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ve 37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maddeleri ile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maddeleri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itibaren,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girer.</w:t>
      </w:r>
    </w:p>
    <w:p w:rsidR="00C74A44" w:rsidRDefault="00C74A44" w:rsidP="00C74A44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Kurul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74A44" w:rsidRDefault="00C74A44" w:rsidP="00C74A44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C74A44" w:rsidRDefault="00C74A44" w:rsidP="00C74A44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</w:t>
        </w:r>
      </w:hyperlink>
    </w:p>
    <w:p w:rsidR="00C74A44" w:rsidRDefault="00C74A44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C74A44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4B5" w:rsidRDefault="00A854B5" w:rsidP="00CE6B7C">
      <w:pPr>
        <w:spacing w:after="0" w:line="240" w:lineRule="auto"/>
      </w:pPr>
      <w:r>
        <w:separator/>
      </w:r>
    </w:p>
  </w:endnote>
  <w:endnote w:type="continuationSeparator" w:id="0">
    <w:p w:rsidR="00A854B5" w:rsidRDefault="00A854B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23AB6">
        <w:pPr>
          <w:pStyle w:val="Altbilgi"/>
          <w:jc w:val="center"/>
        </w:pPr>
        <w:fldSimple w:instr=" PAGE   \* MERGEFORMAT ">
          <w:r w:rsidR="00C74A44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4B5" w:rsidRDefault="00A854B5" w:rsidP="00CE6B7C">
      <w:pPr>
        <w:spacing w:after="0" w:line="240" w:lineRule="auto"/>
      </w:pPr>
      <w:r>
        <w:separator/>
      </w:r>
    </w:p>
  </w:footnote>
  <w:footnote w:type="continuationSeparator" w:id="0">
    <w:p w:rsidR="00A854B5" w:rsidRDefault="00A854B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44A38"/>
    <w:rsid w:val="00C62ADE"/>
    <w:rsid w:val="00C67988"/>
    <w:rsid w:val="00C67A24"/>
    <w:rsid w:val="00C74A4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E00282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8/20130821-27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4946</Words>
  <Characters>28194</Characters>
  <Application>Microsoft Office Word</Application>
  <DocSecurity>0</DocSecurity>
  <Lines>234</Lines>
  <Paragraphs>66</Paragraphs>
  <ScaleCrop>false</ScaleCrop>
  <Company>TURMOB</Company>
  <LinksUpToDate>false</LinksUpToDate>
  <CharactersWithSpaces>33074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159</cp:revision>
  <cp:lastPrinted>2013-06-18T05:31:00Z</cp:lastPrinted>
  <dcterms:created xsi:type="dcterms:W3CDTF">2013-06-03T05:31:00Z</dcterms:created>
  <dcterms:modified xsi:type="dcterms:W3CDTF">2013-08-21T05:30:00Z</dcterms:modified>
</cp:coreProperties>
</file>