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Sayı : 28742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4C49B1" w:rsidRDefault="004C49B1" w:rsidP="004C49B1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4C49B1">
        <w:rPr>
          <w:b/>
          <w:sz w:val="18"/>
          <w:szCs w:val="18"/>
          <w:u w:val="none"/>
        </w:rPr>
        <w:t>Maliye Bakanl</w:t>
      </w:r>
      <w:r w:rsidRPr="004C49B1">
        <w:rPr>
          <w:b/>
          <w:sz w:val="18"/>
          <w:szCs w:val="18"/>
          <w:u w:val="none"/>
        </w:rPr>
        <w:t>ığı</w:t>
      </w:r>
      <w:r w:rsidRPr="004C49B1">
        <w:rPr>
          <w:b/>
          <w:sz w:val="18"/>
          <w:szCs w:val="18"/>
          <w:u w:val="none"/>
        </w:rPr>
        <w:t xml:space="preserve"> ve Hazine M</w:t>
      </w:r>
      <w:r w:rsidRPr="004C49B1">
        <w:rPr>
          <w:b/>
          <w:sz w:val="18"/>
          <w:szCs w:val="18"/>
          <w:u w:val="none"/>
        </w:rPr>
        <w:t>ü</w:t>
      </w:r>
      <w:r w:rsidRPr="004C49B1">
        <w:rPr>
          <w:b/>
          <w:sz w:val="18"/>
          <w:szCs w:val="18"/>
          <w:u w:val="none"/>
        </w:rPr>
        <w:t>ste</w:t>
      </w:r>
      <w:r w:rsidRPr="004C49B1">
        <w:rPr>
          <w:b/>
          <w:sz w:val="18"/>
          <w:szCs w:val="18"/>
          <w:u w:val="none"/>
        </w:rPr>
        <w:t>ş</w:t>
      </w:r>
      <w:r w:rsidRPr="004C49B1">
        <w:rPr>
          <w:b/>
          <w:sz w:val="18"/>
          <w:szCs w:val="18"/>
          <w:u w:val="none"/>
        </w:rPr>
        <w:t>arl</w:t>
      </w:r>
      <w:r w:rsidRPr="004C49B1">
        <w:rPr>
          <w:b/>
          <w:sz w:val="18"/>
          <w:szCs w:val="18"/>
          <w:u w:val="none"/>
        </w:rPr>
        <w:t>ığı</w:t>
      </w:r>
      <w:r w:rsidRPr="004C49B1">
        <w:rPr>
          <w:b/>
          <w:sz w:val="18"/>
          <w:szCs w:val="18"/>
          <w:u w:val="none"/>
        </w:rPr>
        <w:t>ndan:</w:t>
      </w:r>
    </w:p>
    <w:p w:rsidR="004C49B1" w:rsidRPr="004C49B1" w:rsidRDefault="004C49B1" w:rsidP="004C49B1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4C49B1" w:rsidRDefault="004C49B1" w:rsidP="004C49B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REYSEL KATILIM YATIRIMCISI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TEBL</w:t>
      </w:r>
      <w:r>
        <w:rPr>
          <w:sz w:val="18"/>
          <w:szCs w:val="18"/>
        </w:rPr>
        <w:t>İĞ</w:t>
      </w:r>
    </w:p>
    <w:p w:rsidR="004C49B1" w:rsidRDefault="004C49B1" w:rsidP="004C49B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1)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de, </w:t>
      </w:r>
      <w:proofErr w:type="gramStart"/>
      <w:r>
        <w:rPr>
          <w:sz w:val="18"/>
          <w:szCs w:val="18"/>
        </w:rPr>
        <w:t>13/6/2012</w:t>
      </w:r>
      <w:proofErr w:type="gramEnd"/>
      <w:r>
        <w:rPr>
          <w:sz w:val="18"/>
          <w:szCs w:val="18"/>
        </w:rPr>
        <w:t xml:space="preserve"> tarihli ve 6327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Bireysel Emeklilik Tasarruf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Sistemi Kanunu ile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ve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Kanunun</w:t>
      </w:r>
      <w:r>
        <w:rPr>
          <w:position w:val="5"/>
          <w:sz w:val="18"/>
          <w:szCs w:val="18"/>
        </w:rPr>
        <w:t>1</w:t>
      </w:r>
      <w:r>
        <w:rPr>
          <w:sz w:val="18"/>
          <w:szCs w:val="18"/>
        </w:rPr>
        <w:t xml:space="preserve"> 10 uncu maddesi ile 193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Gelir Vergisi Kanununa</w:t>
      </w:r>
      <w:r>
        <w:rPr>
          <w:position w:val="5"/>
          <w:sz w:val="18"/>
          <w:szCs w:val="18"/>
        </w:rPr>
        <w:t>2</w:t>
      </w:r>
      <w:r>
        <w:rPr>
          <w:sz w:val="18"/>
          <w:szCs w:val="18"/>
        </w:rPr>
        <w:t xml:space="preserve"> eklenen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82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klamalara yer verilmektedir.</w:t>
      </w:r>
    </w:p>
    <w:p w:rsidR="004C49B1" w:rsidRDefault="004C49B1" w:rsidP="004C49B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Bireysel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Yat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ndirimi Uygulamas</w:t>
      </w:r>
      <w:r>
        <w:rPr>
          <w:b/>
          <w:sz w:val="18"/>
          <w:szCs w:val="18"/>
        </w:rPr>
        <w:t>ı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4059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</w:t>
      </w:r>
      <w:r>
        <w:rPr>
          <w:position w:val="5"/>
          <w:sz w:val="18"/>
          <w:szCs w:val="18"/>
        </w:rPr>
        <w:t>3</w:t>
      </w:r>
      <w:r>
        <w:rPr>
          <w:sz w:val="18"/>
          <w:szCs w:val="18"/>
        </w:rPr>
        <w:t xml:space="preserve"> ek 5 inci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devlet desteklerinden yararlanmalar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kendilerine lisans verilecek olan,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 ve birikimlerini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imlere aktaran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15/2/2013</w:t>
      </w:r>
      <w:proofErr w:type="gramEnd"/>
      <w:r>
        <w:rPr>
          <w:sz w:val="18"/>
          <w:szCs w:val="18"/>
        </w:rPr>
        <w:t xml:space="preserve"> tarihli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Sermayesi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</w:t>
      </w:r>
      <w:r>
        <w:rPr>
          <w:position w:val="5"/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iktisap edilen;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Tam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irketlere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bedellerinin %75'i,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Bilimsel ve Teknolojik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Kurumu ile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 xml:space="preserve">k ve Orta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ekli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 ve Destekleme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ve yenilik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ilik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projesi son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desteklenmi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irketlere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bedellerinin  % 100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proofErr w:type="gramEnd"/>
      <w:r>
        <w:rPr>
          <w:sz w:val="18"/>
          <w:szCs w:val="18"/>
        </w:rPr>
        <w:t xml:space="preserve"> konusu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en az iki tam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elde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 olarak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beyanname ile bildirilen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iratlardan indirilebilecektir.</w:t>
      </w:r>
    </w:p>
    <w:p w:rsidR="004C49B1" w:rsidRDefault="004C49B1" w:rsidP="004C49B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ndirimden Yararlanma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indiriminden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 Tam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tirak hisselerinin iktisap edilmesinden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Tam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 bir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iki tam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(730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n)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elde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Sermayesi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alanlarda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mevzuata uygun bulunmas</w:t>
      </w:r>
      <w:r>
        <w:rPr>
          <w:sz w:val="18"/>
          <w:szCs w:val="18"/>
        </w:rPr>
        <w:t>ı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gerekmektedir</w:t>
      </w:r>
      <w:proofErr w:type="gramEnd"/>
      <w:r>
        <w:rPr>
          <w:sz w:val="18"/>
          <w:szCs w:val="18"/>
        </w:rPr>
        <w:t>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elde tutma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Sermayesi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nakdi sermayenin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indiriminden dar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ile dar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kurumlara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eden tam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yararlanmas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bulunmamaktad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ndirim D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nemi,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ndirime Esas Tutar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Hesaplanmas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ndirimin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indiriminden, indirime konu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iktisap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vergilendirme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verilecek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gelir vergisi beyannamelerinde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labilecektir.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279 uncu maddesinde hisse senetlerinin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bedeliyle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ndan,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indirimine konu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hisse senetlerinin indirime esas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tespitinde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bedellerinin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Beyana tabi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iratlardan bu kapsamda indirim konusu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tutar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proofErr w:type="gramStart"/>
      <w:r>
        <w:rPr>
          <w:sz w:val="18"/>
          <w:szCs w:val="18"/>
        </w:rPr>
        <w:t>bazda</w:t>
      </w:r>
      <w:proofErr w:type="gramEnd"/>
      <w:r>
        <w:rPr>
          <w:sz w:val="18"/>
          <w:szCs w:val="18"/>
        </w:rPr>
        <w:t xml:space="preserve"> 1.000.000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Hisselerin iktisap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beyannamede bildirilen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irad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yetersiz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indirilemeyen tutarlar, izleyen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llarda Vergi Usul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hesaplanan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indirim konusu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labilecektir.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indirim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proofErr w:type="gramStart"/>
      <w:r>
        <w:rPr>
          <w:sz w:val="18"/>
          <w:szCs w:val="18"/>
        </w:rPr>
        <w:t>31/12/2017</w:t>
      </w:r>
      <w:proofErr w:type="gramEnd"/>
      <w:r>
        <w:rPr>
          <w:sz w:val="18"/>
          <w:szCs w:val="18"/>
        </w:rPr>
        <w:t xml:space="preserve"> tarihine kadar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mlarla ilgili olarak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labilecektir.</w:t>
      </w:r>
    </w:p>
    <w:p w:rsidR="004C49B1" w:rsidRDefault="004C49B1" w:rsidP="004C49B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hlal Edilmesi Durumunda Uygulama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Hisselerin iktisap tarihinden itibaren iki tam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dolmadan elden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- 4059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ek 5 inci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vergi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 ve/veya faaliyetlerde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Sermayesi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ile getirilen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kurulan kurumlar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beyan edilen faaliyetlerde bulunulmamas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edilen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 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veya birlikte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-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inin, kendisinin veya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veya </w:t>
      </w:r>
      <w:proofErr w:type="gramStart"/>
      <w:r>
        <w:rPr>
          <w:sz w:val="18"/>
          <w:szCs w:val="18"/>
        </w:rPr>
        <w:t>kendisinin  altsoyu</w:t>
      </w:r>
      <w:proofErr w:type="gramEnd"/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stsoyu ile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derece dahil yansoy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idaresi, denetimi veya sermayesi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ya da bu kimselerin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fuzu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hallerinde</w:t>
      </w:r>
      <w:proofErr w:type="gramEnd"/>
      <w:r>
        <w:rPr>
          <w:sz w:val="18"/>
          <w:szCs w:val="18"/>
        </w:rPr>
        <w:t xml:space="preserve">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tahakkuk ettirilmemi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vergiler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vergi </w:t>
      </w:r>
      <w:proofErr w:type="spellStart"/>
      <w:r>
        <w:rPr>
          <w:sz w:val="18"/>
          <w:szCs w:val="18"/>
        </w:rPr>
        <w:t>ziya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ndirim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ihlal edilmesi nedeniyle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namayan vergiler ile vergi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zamana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verginin tarh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cezan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kesilmesini gerektiren durumun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tarihi takip eden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itibaren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Sermayesi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hallerde de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tahakkuk ettirilmemi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vergiler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vergi </w:t>
      </w:r>
      <w:proofErr w:type="spellStart"/>
      <w:r>
        <w:rPr>
          <w:sz w:val="18"/>
          <w:szCs w:val="18"/>
        </w:rPr>
        <w:t>ziya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5.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cbir Sebep Halleri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herhangi bir kast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irketinin iflas etmesi halinde, Gelir Vergisi Kanununun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82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 halinin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kabul edilir. Bu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 hali nedeniyle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en az iki tam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elde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yerine getirilemeyece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 halinin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tarihi, mahiyeti,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en az iki tam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elde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olan etkisi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etkilerinin tahmini giderilme </w:t>
      </w:r>
      <w:proofErr w:type="gramStart"/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 bireysel</w:t>
      </w:r>
      <w:proofErr w:type="gramEnd"/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cbir sebep halinin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(i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)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erlendirilmesi neticesinde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 halinin var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kanaatine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tahakkuk ettirilmemi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vergiler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vergi </w:t>
      </w:r>
      <w:proofErr w:type="spellStart"/>
      <w:r>
        <w:rPr>
          <w:sz w:val="18"/>
          <w:szCs w:val="18"/>
        </w:rPr>
        <w:t>ziya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lmaz ve </w:t>
      </w:r>
      <w:proofErr w:type="spellStart"/>
      <w:r>
        <w:rPr>
          <w:sz w:val="18"/>
          <w:szCs w:val="18"/>
        </w:rPr>
        <w:t>ziyaa</w:t>
      </w:r>
      <w:proofErr w:type="spellEnd"/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vergiler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gecikme faizi ve vergi </w:t>
      </w:r>
      <w:proofErr w:type="spellStart"/>
      <w:r>
        <w:rPr>
          <w:sz w:val="18"/>
          <w:szCs w:val="18"/>
        </w:rPr>
        <w:t>ziya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tahsil edilmez.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fiil ehliyetinin kayb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hisselerinin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elde tutulma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halinde miras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lar, fiil ehliyetinin kayb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kanuni temsilciler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yerine getirilecektir.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yerine getirilememesi halinde, indirim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tahakkuk ettirilmemi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vergiler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vergi </w:t>
      </w:r>
      <w:proofErr w:type="spellStart"/>
      <w:r>
        <w:rPr>
          <w:sz w:val="18"/>
          <w:szCs w:val="18"/>
        </w:rPr>
        <w:t>ziya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kesilmeyecek olup,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tahakkuk etmemi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vergi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gecikme faiziyle birlikte miras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kelleften tahsil edilecektir.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6. Bildirim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Lisans sahibi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 durum sermayenin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belgeler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indiriminden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oran da belirtilmek suretiyle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Vergi Dairesi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bildirilir.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ilk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bildirimde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yeterli olup, sermayenin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belgelerin ise her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gerekmektedir.</w:t>
      </w:r>
    </w:p>
    <w:p w:rsidR="004C49B1" w:rsidRDefault="004C49B1" w:rsidP="004C49B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te yandan,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Sermayesi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etmesi nedeniyle vergi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acak hallerin tespit edilmesi durumunda, tespit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2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bildirimde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4C49B1" w:rsidRDefault="004C49B1" w:rsidP="004C49B1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4C49B1" w:rsidRDefault="004C49B1" w:rsidP="004C49B1">
      <w:pPr>
        <w:pStyle w:val="3-NormalYaz"/>
        <w:spacing w:line="240" w:lineRule="exact"/>
        <w:ind w:firstLine="566"/>
      </w:pPr>
    </w:p>
    <w:p w:rsidR="004C49B1" w:rsidRDefault="004C49B1" w:rsidP="004C49B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—————————————————————</w:t>
      </w:r>
    </w:p>
    <w:p w:rsidR="004C49B1" w:rsidRDefault="004C49B1" w:rsidP="004C49B1">
      <w:pPr>
        <w:pStyle w:val="3-NormalYaz"/>
        <w:spacing w:line="240" w:lineRule="exact"/>
        <w:rPr>
          <w:sz w:val="18"/>
          <w:szCs w:val="18"/>
        </w:rPr>
      </w:pPr>
      <w:proofErr w:type="gramStart"/>
      <w:r>
        <w:rPr>
          <w:position w:val="5"/>
          <w:sz w:val="18"/>
          <w:szCs w:val="18"/>
        </w:rPr>
        <w:t>1</w:t>
      </w:r>
      <w:r>
        <w:rPr>
          <w:sz w:val="18"/>
          <w:szCs w:val="18"/>
        </w:rPr>
        <w:t xml:space="preserve">  29</w:t>
      </w:r>
      <w:proofErr w:type="gramEnd"/>
      <w:r>
        <w:rPr>
          <w:sz w:val="18"/>
          <w:szCs w:val="18"/>
        </w:rPr>
        <w:t>/6/2012 tarihli ve 28338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rPr>
          <w:sz w:val="18"/>
          <w:szCs w:val="18"/>
        </w:rPr>
      </w:pPr>
      <w:proofErr w:type="gramStart"/>
      <w:r>
        <w:rPr>
          <w:position w:val="5"/>
          <w:sz w:val="18"/>
          <w:szCs w:val="18"/>
        </w:rPr>
        <w:t>2</w:t>
      </w:r>
      <w:r>
        <w:rPr>
          <w:sz w:val="18"/>
          <w:szCs w:val="18"/>
        </w:rPr>
        <w:t xml:space="preserve">  6</w:t>
      </w:r>
      <w:proofErr w:type="gramEnd"/>
      <w:r>
        <w:rPr>
          <w:sz w:val="18"/>
          <w:szCs w:val="18"/>
        </w:rPr>
        <w:t>/1/1961 tarihli ve 10700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rPr>
          <w:sz w:val="18"/>
          <w:szCs w:val="18"/>
        </w:rPr>
      </w:pPr>
      <w:proofErr w:type="gramStart"/>
      <w:r>
        <w:rPr>
          <w:position w:val="5"/>
          <w:sz w:val="18"/>
          <w:szCs w:val="18"/>
        </w:rPr>
        <w:t>3</w:t>
      </w:r>
      <w:r>
        <w:rPr>
          <w:sz w:val="18"/>
          <w:szCs w:val="18"/>
        </w:rPr>
        <w:t xml:space="preserve">  20</w:t>
      </w:r>
      <w:proofErr w:type="gramEnd"/>
      <w:r>
        <w:rPr>
          <w:sz w:val="18"/>
          <w:szCs w:val="18"/>
        </w:rPr>
        <w:t>/12/1994 tarihli ve 22147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4C49B1">
      <w:pPr>
        <w:pStyle w:val="3-NormalYaz"/>
        <w:spacing w:line="240" w:lineRule="exact"/>
        <w:rPr>
          <w:sz w:val="18"/>
          <w:szCs w:val="18"/>
        </w:rPr>
      </w:pPr>
      <w:proofErr w:type="gramStart"/>
      <w:r>
        <w:rPr>
          <w:position w:val="5"/>
          <w:sz w:val="18"/>
          <w:szCs w:val="18"/>
        </w:rPr>
        <w:t>4</w:t>
      </w:r>
      <w:r>
        <w:rPr>
          <w:sz w:val="18"/>
          <w:szCs w:val="18"/>
        </w:rPr>
        <w:t xml:space="preserve">  15</w:t>
      </w:r>
      <w:proofErr w:type="gramEnd"/>
      <w:r>
        <w:rPr>
          <w:sz w:val="18"/>
          <w:szCs w:val="18"/>
        </w:rPr>
        <w:t>/2/2013 tarihli ve 28560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C49B1" w:rsidRDefault="004C49B1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4C49B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9B" w:rsidRDefault="00C3409B" w:rsidP="00CE6B7C">
      <w:pPr>
        <w:spacing w:after="0" w:line="240" w:lineRule="auto"/>
      </w:pPr>
      <w:r>
        <w:separator/>
      </w:r>
    </w:p>
  </w:endnote>
  <w:endnote w:type="continuationSeparator" w:id="0">
    <w:p w:rsidR="00C3409B" w:rsidRDefault="00C3409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37276">
        <w:pPr>
          <w:pStyle w:val="Altbilgi"/>
          <w:jc w:val="center"/>
        </w:pPr>
        <w:fldSimple w:instr=" PAGE   \* MERGEFORMAT ">
          <w:r w:rsidR="004C49B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9B" w:rsidRDefault="00C3409B" w:rsidP="00CE6B7C">
      <w:pPr>
        <w:spacing w:after="0" w:line="240" w:lineRule="auto"/>
      </w:pPr>
      <w:r>
        <w:separator/>
      </w:r>
    </w:p>
  </w:footnote>
  <w:footnote w:type="continuationSeparator" w:id="0">
    <w:p w:rsidR="00C3409B" w:rsidRDefault="00C3409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E00282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1225</Words>
  <Characters>6983</Characters>
  <Application>Microsoft Office Word</Application>
  <DocSecurity>0</DocSecurity>
  <Lines>58</Lines>
  <Paragraphs>16</Paragraphs>
  <ScaleCrop>false</ScaleCrop>
  <Company>TURMOB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161</cp:revision>
  <cp:lastPrinted>2013-06-18T05:31:00Z</cp:lastPrinted>
  <dcterms:created xsi:type="dcterms:W3CDTF">2013-06-03T05:31:00Z</dcterms:created>
  <dcterms:modified xsi:type="dcterms:W3CDTF">2013-08-21T05:31:00Z</dcterms:modified>
</cp:coreProperties>
</file>