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Sayı : 28742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241612" w:rsidRDefault="00241612" w:rsidP="000E4D1B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DF39BC" w:rsidRDefault="00DF39BC" w:rsidP="000E4D1B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DF39BC" w:rsidRPr="00DF39BC" w:rsidRDefault="00DF39BC" w:rsidP="00DF39BC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DF39BC">
        <w:rPr>
          <w:b/>
          <w:sz w:val="18"/>
          <w:szCs w:val="18"/>
          <w:u w:val="none"/>
        </w:rPr>
        <w:t>Sosyal G</w:t>
      </w:r>
      <w:r w:rsidRPr="00DF39BC">
        <w:rPr>
          <w:b/>
          <w:sz w:val="18"/>
          <w:szCs w:val="18"/>
          <w:u w:val="none"/>
        </w:rPr>
        <w:t>ü</w:t>
      </w:r>
      <w:r w:rsidRPr="00DF39BC">
        <w:rPr>
          <w:b/>
          <w:sz w:val="18"/>
          <w:szCs w:val="18"/>
          <w:u w:val="none"/>
        </w:rPr>
        <w:t>venlik Kurumu Ba</w:t>
      </w:r>
      <w:r w:rsidRPr="00DF39BC">
        <w:rPr>
          <w:b/>
          <w:sz w:val="18"/>
          <w:szCs w:val="18"/>
          <w:u w:val="none"/>
        </w:rPr>
        <w:t>ş</w:t>
      </w:r>
      <w:r w:rsidRPr="00DF39BC">
        <w:rPr>
          <w:b/>
          <w:sz w:val="18"/>
          <w:szCs w:val="18"/>
          <w:u w:val="none"/>
        </w:rPr>
        <w:t>kanl</w:t>
      </w:r>
      <w:r w:rsidRPr="00DF39BC">
        <w:rPr>
          <w:b/>
          <w:sz w:val="18"/>
          <w:szCs w:val="18"/>
          <w:u w:val="none"/>
        </w:rPr>
        <w:t>ığı</w:t>
      </w:r>
      <w:r w:rsidRPr="00DF39BC">
        <w:rPr>
          <w:b/>
          <w:sz w:val="18"/>
          <w:szCs w:val="18"/>
          <w:u w:val="none"/>
        </w:rPr>
        <w:t>ndan:</w:t>
      </w:r>
    </w:p>
    <w:p w:rsidR="00DF39BC" w:rsidRDefault="00DF39BC" w:rsidP="00DF39BC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DF39BC" w:rsidRDefault="00DF39BC" w:rsidP="00DF39B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SOSYAL 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GORTA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DF39BC" w:rsidRDefault="00DF39BC" w:rsidP="00DF39BC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12/5/2010</w:t>
      </w:r>
      <w:proofErr w:type="gramEnd"/>
      <w:r>
        <w:rPr>
          <w:sz w:val="18"/>
          <w:szCs w:val="18"/>
        </w:rPr>
        <w:t xml:space="preserve"> tarihli ve 27579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Sosyal Sigorta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9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“ı</w:t>
      </w:r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Toplum Yarar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yararlananlar.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b) 5/6/1986 tarihli ve 3308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Kanununda belirtilen aday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rak,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rak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letmelerde meslek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meslek liselerinde okumakta iken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staja tabi tutulan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 ile 2547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Kanununun 46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tabi olarak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rencilerden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Kanunun 82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otuz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olmayanlar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bunlardan bakmakla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durumunda olmayanlar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bakmakla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itli nedenlerle </w:t>
      </w:r>
      <w:proofErr w:type="gramStart"/>
      <w:r>
        <w:rPr>
          <w:sz w:val="18"/>
          <w:szCs w:val="18"/>
        </w:rPr>
        <w:t>provizyon</w:t>
      </w:r>
      <w:proofErr w:type="gramEnd"/>
      <w:r>
        <w:rPr>
          <w:sz w:val="18"/>
          <w:szCs w:val="18"/>
        </w:rPr>
        <w:t xml:space="preserve"> verilemeyen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d)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kurulu herhangi bir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o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 sosyal sigortaya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belgeleyen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anlardan,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ikamet eden ve 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olanlar,</w:t>
      </w:r>
      <w:r>
        <w:rPr>
          <w:sz w:val="18"/>
          <w:szCs w:val="18"/>
        </w:rPr>
        <w:t>”</w:t>
      </w:r>
      <w:proofErr w:type="gramEnd"/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j)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lik ve Spor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Spor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Futbol Federasyonu,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spor 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lik ve spor faaliyetleri ile bu faaliyetlerle ilgili kamp,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reklilik arz etmeyecek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elektronik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turuluncaya kadar Kurumca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kontrolleri </w:t>
      </w:r>
      <w:proofErr w:type="spellStart"/>
      <w:r>
        <w:rPr>
          <w:sz w:val="18"/>
          <w:szCs w:val="18"/>
        </w:rPr>
        <w:t>manuel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ya da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kontrollerine esas ilgili bilgi ve belgelerin Kuruma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istenebilir.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(b)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protokoller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sadece beyan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dayanmayan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(7)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21 inci maddesine istinaden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mahkemelerince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kararlar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iadesine karar verilen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mahkeme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iyi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kadar verilen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bildirgesi yasal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proofErr w:type="gramEnd"/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(2)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verenin, birden fazla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ya da ihale konusu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kurmas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devir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yahut kendisine intikal etmesi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bildirgesi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kolu kodu;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Ek-12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yer alan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kolu Kodu Listesine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hangi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koluna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belirtmeye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olup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hane rakamdan ibarettir.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(b)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yetkili mercilerden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sadece beyan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dayanmayan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nitece karar verilemeyen, mal</w:t>
      </w:r>
      <w:r>
        <w:rPr>
          <w:sz w:val="18"/>
          <w:szCs w:val="18"/>
        </w:rPr>
        <w:t>û</w:t>
      </w:r>
      <w:r>
        <w:rPr>
          <w:sz w:val="18"/>
          <w:szCs w:val="18"/>
        </w:rPr>
        <w:t xml:space="preserve">liyet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neticelenen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 denetim ve kontrolle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lerince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kontrol memurlar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denetmenleri</w:t>
      </w:r>
      <w:proofErr w:type="spellEnd"/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58 inci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(5) Kanunun 30 uncu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tercih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talebinde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talepleri,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bildirgesi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verilmesinden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</w:t>
      </w:r>
      <w:r>
        <w:rPr>
          <w:sz w:val="18"/>
          <w:szCs w:val="18"/>
        </w:rPr>
        <w:lastRenderedPageBreak/>
        <w:t>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uygulanmaz. Bunlardan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olmak isteyenlerin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bildirimin Kurum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tarihi izleyen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kesilir.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destek primine tabi olmak isteyenlerin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ise, bildirimin Kurum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tarihi takip 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neminden itibaren Kanunun 30 uncu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yeniden hesaplanmak suretiyle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(3)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tespit edilen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Kanunun 41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(b), (d), (e), (h) ve (j) bentlerine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tarihi,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kadar geriye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ise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ilgili aylara mal edilir.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(a), (b), (d), (e), (f), (g), (h) ve (j) bentleri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reler, talep tarihinde tabi olunan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bendine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Dokuzuncu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j) </w:t>
      </w:r>
      <w:proofErr w:type="gramStart"/>
      <w:r>
        <w:rPr>
          <w:sz w:val="18"/>
          <w:szCs w:val="18"/>
        </w:rPr>
        <w:t>8/4/1929</w:t>
      </w:r>
      <w:proofErr w:type="gramEnd"/>
      <w:r>
        <w:rPr>
          <w:sz w:val="18"/>
          <w:szCs w:val="18"/>
        </w:rPr>
        <w:t xml:space="preserve"> tarihli ve 1416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Ecnebi Memleketlere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Talebe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tamamlayarak yurda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nenlerden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mecburi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ilgili kamu idarelerince,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Onbirinci</w:t>
      </w:r>
      <w:proofErr w:type="spell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(11) Kanunun 41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lanmalarda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Kuruma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edilmesi halinde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lanmadan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ilebilir.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faiz uygulanmaks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 edilir.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iade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98 inci maddesinin;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e-Devlet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prime esas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Kuruma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beyan olarak kabul edilir.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d) Kanunun 80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haiz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uygulanmaz.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ve (h)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d)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21 inci maddesine istinaden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mahkemelerince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kararlar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iadesine karar verilen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mahkeme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uygun daveti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davete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iyi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ayba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ndan,</w:t>
      </w:r>
      <w:r>
        <w:rPr>
          <w:sz w:val="18"/>
          <w:szCs w:val="18"/>
        </w:rPr>
        <w:t>”</w:t>
      </w:r>
      <w:proofErr w:type="gramEnd"/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h)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mahkeme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idarece verilen kararlar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geriye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mahkeme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idareye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takip eden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veya idarenin karar tarihinden itibaren,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Onikinci</w:t>
      </w:r>
      <w:proofErr w:type="spell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 (d)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a) Kurumca elektronik ortamda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Kurumca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istirahatli</w:t>
      </w:r>
      <w:proofErr w:type="spellEnd"/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raporu,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d)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puantaj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Ond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30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10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prim ve hizmet belgesinin sonradan verilmesi ve resen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yerlerinde;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Fiilen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 edilecek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bilgiden ya da kamu idareleri ile 5411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belge veya bilgilerden,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lde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Kuruma bildirilmeyen veya eksik bildirilen,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veya eksik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belgeleri Kuruma verilmeyen veya verilen bu belgeler Kurumca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proofErr w:type="gramEnd"/>
      <w:r>
        <w:rPr>
          <w:sz w:val="18"/>
          <w:szCs w:val="18"/>
        </w:rPr>
        <w:t xml:space="preserve"> ile ilgili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gereken,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bildirgesi,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bildirgesi ve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prim ve hizmet belgesi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bir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tebligat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veya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verenden istenir.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belgeler,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tebligata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takdirde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nitece resen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</w:t>
      </w: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sahipleri ve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tutmak zorunda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defter,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bilgi ve belgeleri istenilmesi halinde ibraza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stenildi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 ibraz edilmeyen defter,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bilgi ve belgelerden herhangi birinin veya birka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 ibraz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tam olarak yerine getirilmedi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sahipleri ve alt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tutmak zorunda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defter,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bilgi ve belgelerden istenilen herhangi birinin veya bir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ibraz edilemeyece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bildirilmesi,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108 inci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ve (i)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e)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21 inci maddesine istinaden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mahkemelerince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kararlar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iadesine karar verilen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en mahkeme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hakem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itibaren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uygun daveti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davete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iyi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tebligat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</w:t>
      </w:r>
      <w:proofErr w:type="gramStart"/>
      <w:r>
        <w:rPr>
          <w:sz w:val="18"/>
          <w:szCs w:val="18"/>
        </w:rPr>
        <w:t>ay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</w:t>
      </w:r>
      <w:proofErr w:type="gramEnd"/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i)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mahkeme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idarece verilen kararlar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geriye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mahkeme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idareye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takip eden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veya idarenin karar tarihinden itibaren,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110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111 inci maddesinin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ve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(3) Birim maliyet bedelleri,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grubuna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nca tespit edilerek Kurumca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nitelikteki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asgari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ilik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ruhsatnamesi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ilgili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grubunun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grubu, Kurumun denetim ve kontrolle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mahallinde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tespit tutana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istinaden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nitece belirlenerek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nitece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tespit edilen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veya grubuna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itirazlar ise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Asgari </w:t>
      </w:r>
      <w:r>
        <w:rPr>
          <w:sz w:val="18"/>
          <w:szCs w:val="18"/>
        </w:rPr>
        <w:t>İşç</w:t>
      </w:r>
      <w:r>
        <w:rPr>
          <w:sz w:val="18"/>
          <w:szCs w:val="18"/>
        </w:rPr>
        <w:t xml:space="preserve">ilik Tespit Komisyonuna intikal ettirilir.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grubunun,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ilgili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daha alt bir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grubunda tasnif edilmesi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veya inceleme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sonucu tespit edilen borcun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kadar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ilgili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lerde belirtilmemi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aata ait birim maliyet bedeli,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benzeri bir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birim maliyet bedeli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hesaplanabilir.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sekizinci ve dokuzuncu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(5) Kurumun denetim ve kontrolle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inceleme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Ancak, denetim ve kontrole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lanmakla birlikte,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verenin borcu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niteye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nitenin bu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denetim isteminin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talebinin ilgili Grup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Kurumun denetim ve kontrolle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uygun bulmas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 inceleme durdurulur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kolu Kodu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tiraz Komisyonu,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 amiri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ef, dosya memuru ve varsa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proofErr w:type="spellStart"/>
      <w:r>
        <w:rPr>
          <w:sz w:val="18"/>
          <w:szCs w:val="18"/>
        </w:rPr>
        <w:t>denetmeninden</w:t>
      </w:r>
      <w:proofErr w:type="spell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114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Kurumun denetim ve kontrol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5502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Kanununda belirtilen Kurum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proofErr w:type="spellStart"/>
      <w:r>
        <w:rPr>
          <w:sz w:val="18"/>
          <w:szCs w:val="18"/>
        </w:rPr>
        <w:t>denetmenleridir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15 inci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(5) 1416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tamamlayarak yurda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nenlerden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mecburi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olanlardan, bu Kanunun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tabi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olup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devam edenler;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18 ya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ait olan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veya mecburi hizmetlerini tamamlayacaklar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etmeleri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ay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olan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ve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hesaplanacak kesenek ve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olarak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kabul tarihinden itibaren </w:t>
      </w:r>
      <w:proofErr w:type="spellStart"/>
      <w:r>
        <w:rPr>
          <w:sz w:val="18"/>
          <w:szCs w:val="18"/>
        </w:rPr>
        <w:t>oniki</w:t>
      </w:r>
      <w:proofErr w:type="spellEnd"/>
      <w:r>
        <w:rPr>
          <w:sz w:val="18"/>
          <w:szCs w:val="18"/>
        </w:rPr>
        <w:t xml:space="preserve"> ayda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 taksitler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demek suretiyle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lanabilirler. </w:t>
      </w:r>
      <w:proofErr w:type="gramEnd"/>
      <w:r>
        <w:rPr>
          <w:sz w:val="18"/>
          <w:szCs w:val="18"/>
        </w:rPr>
        <w:t xml:space="preserve">Borcunu taksitler halinde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deyecek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hesaplanan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taksit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borcun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tarihteki prime esas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kazanca oranlanarak,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oran ilgili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prime esas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arp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bulunan tutar, ilgili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taksit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edilir. Borcunun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deyenler ile taksit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sonunda borcunun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olunanlar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reler, fiili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tarihinin tespitinde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taksitlerini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demeyenlerin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aylara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tutarlar,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son taksit tarihinden itibaren </w:t>
      </w:r>
      <w:r>
        <w:rPr>
          <w:sz w:val="18"/>
          <w:szCs w:val="18"/>
        </w:rPr>
        <w:lastRenderedPageBreak/>
        <w:t>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ilgililere iade edilir.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hususlar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proofErr w:type="gramStart"/>
      <w:r>
        <w:rPr>
          <w:sz w:val="18"/>
          <w:szCs w:val="18"/>
        </w:rPr>
        <w:t>23/4/1999</w:t>
      </w:r>
      <w:proofErr w:type="gramEnd"/>
      <w:r>
        <w:rPr>
          <w:sz w:val="18"/>
          <w:szCs w:val="18"/>
        </w:rPr>
        <w:t xml:space="preserve"> ile 14/2/2005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tabi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disiplin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 memuriyetleri sona erip, 5525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disiplin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12/7/2012 tarihinden itibaren 3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etmeleri halinde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haddine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 memuriyetlerinin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ile 22/6/2006 tarihi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tabi olarak sigorta primi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kesenek ve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toplamlar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tarihteki derece ve kademelerine hizmet olarak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renin her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bir derece ve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bir kademe verilmek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657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36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kselebilecekleri dereceleri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tespit edilecek derece ve kademeleriyle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 uygulanmakta olan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belirlenecek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hesaplanarak, halen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 olarak en son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idarelerine bildirilir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tutarlar bu idareler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Kuruma defaten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proofErr w:type="gramStart"/>
      <w:r>
        <w:rPr>
          <w:sz w:val="18"/>
          <w:szCs w:val="18"/>
        </w:rPr>
        <w:t>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disiplin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5525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olanlardan memuriyetten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kuruma yeniden atanmak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layarak bu kurumlarda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ilk atamalar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tarihine kadar olan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erisindeki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tabi olarak sigorta primi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ise, derece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kselmesi ve kademe ilerlemeleri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Ancak, atamas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12/7/2012</w:t>
      </w:r>
      <w:proofErr w:type="gramEnd"/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zenlemeden yararlanabilmesi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12/7/2012 tarihinden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erisinde, 12/7/2012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atama talebinde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halde atama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bu tarihten sonra tamamlanacaklar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ise, atamalar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izleyen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ilgililer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kesenek ve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dul ve yetim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kendilerine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emekli ikramiyesi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denmesini gerektirmez.</w:t>
      </w:r>
      <w:r>
        <w:rPr>
          <w:sz w:val="18"/>
          <w:szCs w:val="18"/>
        </w:rPr>
        <w:t>”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Ek-4 ve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Ek-9/</w:t>
      </w:r>
      <w:proofErr w:type="spellStart"/>
      <w:r>
        <w:rPr>
          <w:sz w:val="18"/>
          <w:szCs w:val="18"/>
        </w:rPr>
        <w:t>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arka sayfa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Ek-9/A-1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inin arka sayfa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Ek-9/B, Ek-9/B-1, Ek-9/C ve Ek-9/C-1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ekteki Ek-12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kolu Kodu Listesi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ve 25 inci maddesi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Eyl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(b) ve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bendi ile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maddesi, </w:t>
      </w:r>
      <w:proofErr w:type="gramStart"/>
      <w:r>
        <w:rPr>
          <w:sz w:val="18"/>
          <w:szCs w:val="18"/>
        </w:rPr>
        <w:t>12/7/2012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(c) bendi, 2008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(b) bendi, </w:t>
      </w:r>
      <w:proofErr w:type="gramStart"/>
      <w:r>
        <w:rPr>
          <w:sz w:val="18"/>
          <w:szCs w:val="18"/>
        </w:rPr>
        <w:t>1/10/2008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(b) bendi,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</w:t>
      </w:r>
      <w:proofErr w:type="gramStart"/>
      <w:r>
        <w:rPr>
          <w:sz w:val="18"/>
          <w:szCs w:val="18"/>
        </w:rPr>
        <w:t>ay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</w:t>
      </w:r>
      <w:proofErr w:type="gramEnd"/>
      <w:r>
        <w:rPr>
          <w:sz w:val="18"/>
          <w:szCs w:val="18"/>
        </w:rPr>
        <w:t>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DF39BC" w:rsidRDefault="00DF39BC" w:rsidP="00DF39B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DF39BC" w:rsidRDefault="00DF39BC" w:rsidP="00DF39BC">
      <w:pPr>
        <w:pStyle w:val="3-NormalYaz"/>
        <w:spacing w:after="113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DF39B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DF39B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DF3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12/5/2010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27579</w:t>
            </w:r>
          </w:p>
        </w:tc>
      </w:tr>
      <w:tr w:rsidR="00DF39B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netmeliklerin Yay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DF39B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</w:p>
        </w:tc>
      </w:tr>
      <w:tr w:rsidR="00DF39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12/10/2010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27727</w:t>
            </w:r>
          </w:p>
        </w:tc>
      </w:tr>
      <w:tr w:rsidR="00DF39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28/10/2010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27742</w:t>
            </w:r>
          </w:p>
        </w:tc>
      </w:tr>
      <w:tr w:rsidR="00DF39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27862</w:t>
            </w:r>
          </w:p>
        </w:tc>
      </w:tr>
      <w:tr w:rsidR="00DF39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16/6/2011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27966</w:t>
            </w:r>
          </w:p>
        </w:tc>
      </w:tr>
      <w:tr w:rsidR="00DF39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ind w:right="469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17/4/2012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BC" w:rsidRDefault="00DF39B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28267</w:t>
            </w:r>
          </w:p>
        </w:tc>
      </w:tr>
    </w:tbl>
    <w:p w:rsidR="00DF39BC" w:rsidRDefault="00DF39BC" w:rsidP="00DF39BC">
      <w:pPr>
        <w:pStyle w:val="3-NormalYaz"/>
        <w:spacing w:after="113" w:line="240" w:lineRule="exact"/>
        <w:rPr>
          <w:sz w:val="18"/>
          <w:szCs w:val="18"/>
        </w:rPr>
      </w:pPr>
    </w:p>
    <w:p w:rsidR="00DF39BC" w:rsidRDefault="00DF39BC" w:rsidP="00DF39BC">
      <w:pPr>
        <w:pStyle w:val="3-NormalYaz"/>
        <w:spacing w:after="113"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netmelik Ekleri</w:t>
        </w:r>
      </w:hyperlink>
    </w:p>
    <w:p w:rsidR="00DF39BC" w:rsidRDefault="00DF39BC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DF39B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96" w:rsidRDefault="00781196" w:rsidP="00CE6B7C">
      <w:pPr>
        <w:spacing w:after="0" w:line="240" w:lineRule="auto"/>
      </w:pPr>
      <w:r>
        <w:separator/>
      </w:r>
    </w:p>
  </w:endnote>
  <w:endnote w:type="continuationSeparator" w:id="0">
    <w:p w:rsidR="00781196" w:rsidRDefault="0078119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C5A15">
        <w:pPr>
          <w:pStyle w:val="Altbilgi"/>
          <w:jc w:val="center"/>
        </w:pPr>
        <w:fldSimple w:instr=" PAGE   \* MERGEFORMAT ">
          <w:r w:rsidR="00DF39B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96" w:rsidRDefault="00781196" w:rsidP="00CE6B7C">
      <w:pPr>
        <w:spacing w:after="0" w:line="240" w:lineRule="auto"/>
      </w:pPr>
      <w:r>
        <w:separator/>
      </w:r>
    </w:p>
  </w:footnote>
  <w:footnote w:type="continuationSeparator" w:id="0">
    <w:p w:rsidR="00781196" w:rsidRDefault="0078119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41612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C5A15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7988"/>
    <w:rsid w:val="00C67A24"/>
    <w:rsid w:val="00C74A4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21-2-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2994</Words>
  <Characters>17068</Characters>
  <Application>Microsoft Office Word</Application>
  <DocSecurity>0</DocSecurity>
  <Lines>142</Lines>
  <Paragraphs>40</Paragraphs>
  <ScaleCrop>false</ScaleCrop>
  <Company>TURMOB</Company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165</cp:revision>
  <cp:lastPrinted>2013-06-18T05:31:00Z</cp:lastPrinted>
  <dcterms:created xsi:type="dcterms:W3CDTF">2013-06-03T05:31:00Z</dcterms:created>
  <dcterms:modified xsi:type="dcterms:W3CDTF">2013-08-21T05:35:00Z</dcterms:modified>
</cp:coreProperties>
</file>