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64C84" w:rsidRDefault="009928D2" w:rsidP="009D40B9">
      <w:pPr>
        <w:spacing w:after="0" w:line="280" w:lineRule="atLeas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23</w:t>
      </w:r>
      <w:r w:rsidR="009D40B9" w:rsidRPr="00C64C84">
        <w:rPr>
          <w:rFonts w:cs="Times New Roman"/>
          <w:b/>
          <w:u w:val="single"/>
        </w:rPr>
        <w:t xml:space="preserve"> Ağustos</w:t>
      </w:r>
      <w:r w:rsidR="00802E28" w:rsidRPr="00C64C84">
        <w:rPr>
          <w:rFonts w:cs="Times New Roman"/>
          <w:b/>
          <w:u w:val="single"/>
        </w:rPr>
        <w:t xml:space="preserve"> 2013,</w:t>
      </w:r>
      <w:r w:rsidR="000370C9" w:rsidRPr="00C64C84">
        <w:rPr>
          <w:rFonts w:cs="Times New Roman"/>
          <w:b/>
          <w:u w:val="single"/>
        </w:rPr>
        <w:t xml:space="preserve"> </w:t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0370C9" w:rsidRPr="00C64C84">
        <w:rPr>
          <w:rFonts w:cs="Times New Roman"/>
          <w:b/>
          <w:u w:val="single"/>
        </w:rPr>
        <w:tab/>
      </w:r>
      <w:r w:rsidR="002950D7" w:rsidRPr="00C64C84">
        <w:rPr>
          <w:rFonts w:cs="Times New Roman"/>
          <w:b/>
          <w:u w:val="single"/>
        </w:rPr>
        <w:tab/>
      </w:r>
      <w:r w:rsidR="00BF2F3F" w:rsidRPr="00C64C84">
        <w:rPr>
          <w:rFonts w:cs="Times New Roman"/>
          <w:b/>
          <w:u w:val="single"/>
        </w:rPr>
        <w:tab/>
        <w:t xml:space="preserve">           </w:t>
      </w:r>
      <w:r w:rsidR="00C64C84">
        <w:rPr>
          <w:rFonts w:cs="Times New Roman"/>
          <w:b/>
          <w:u w:val="single"/>
        </w:rPr>
        <w:t xml:space="preserve">  </w:t>
      </w:r>
      <w:r>
        <w:rPr>
          <w:rFonts w:cs="Times New Roman"/>
          <w:b/>
          <w:u w:val="single"/>
        </w:rPr>
        <w:t xml:space="preserve"> </w:t>
      </w:r>
      <w:proofErr w:type="gramStart"/>
      <w:r>
        <w:rPr>
          <w:rFonts w:cs="Times New Roman"/>
          <w:b/>
          <w:u w:val="single"/>
        </w:rPr>
        <w:t>Sayı : 28744</w:t>
      </w:r>
      <w:proofErr w:type="gramEnd"/>
    </w:p>
    <w:p w:rsidR="00E306F9" w:rsidRPr="00C64C84" w:rsidRDefault="00E306F9" w:rsidP="000E4D1B">
      <w:pPr>
        <w:pStyle w:val="1-Baslk"/>
        <w:spacing w:line="240" w:lineRule="exact"/>
        <w:ind w:firstLine="566"/>
        <w:rPr>
          <w:rFonts w:asciiTheme="minorHAnsi" w:eastAsiaTheme="minorHAnsi" w:hAnsiTheme="minorHAnsi"/>
          <w:szCs w:val="22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p w:rsidR="0036137D" w:rsidRPr="0036137D" w:rsidRDefault="0036137D" w:rsidP="0036137D">
      <w:pPr>
        <w:tabs>
          <w:tab w:val="left" w:pos="566"/>
        </w:tabs>
        <w:spacing w:after="0" w:line="240" w:lineRule="exac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hale Kurumundan:</w:t>
      </w:r>
    </w:p>
    <w:p w:rsidR="0036137D" w:rsidRPr="0036137D" w:rsidRDefault="0036137D" w:rsidP="0036137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HALE GENEL TEBL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6137D" w:rsidRPr="0036137D" w:rsidRDefault="0036137D" w:rsidP="003613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36137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36137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36137D">
        <w:rPr>
          <w:rFonts w:ascii="Times New Roman" w:eastAsia="ヒラギノ明朝 Pro W3" w:hAnsi="Times" w:cs="Times New Roman"/>
          <w:sz w:val="18"/>
          <w:szCs w:val="18"/>
        </w:rPr>
        <w:t>22/8/2009</w:t>
      </w:r>
      <w:proofErr w:type="gramEnd"/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tarihli ve 27327 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mlanan Kamu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inin 45.1.1.2. </w:t>
      </w:r>
      <w:proofErr w:type="spellStart"/>
      <w:r w:rsidRPr="0036137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45.1.1.2.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Gerekli g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lmesi durumunda, (45.1.1.1.) maddesi uyar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nca belirlenen s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er katsay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yerine,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sz w:val="18"/>
          <w:szCs w:val="18"/>
        </w:rPr>
        <w:t>a) Mevzuat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nca kendisine yap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rma yetkisi verilen bakanl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klar taraf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ndan, bakanl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 merkez ve ta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, ilgili veya ili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kili olan idareleri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in,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ndan, (a) bendinde 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lan idareler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ndaki idareler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in,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sz w:val="18"/>
          <w:szCs w:val="18"/>
        </w:rPr>
        <w:t>(1,00)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k, (1,20)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k olmamak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zere (N) s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er katsay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belirlenebilir. Ayr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ca Bakanl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klar taraf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n proje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zerinden ihalesi yap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lacak olan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st yap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leri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 (0,90)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proofErr w:type="gramStart"/>
      <w:r w:rsidRPr="0036137D">
        <w:rPr>
          <w:rFonts w:ascii="Times New Roman" w:eastAsia="ヒラギノ明朝 Pro W3" w:hAnsi="Times" w:cs="Times New Roman"/>
          <w:sz w:val="18"/>
          <w:szCs w:val="18"/>
        </w:rPr>
        <w:t>dan</w:t>
      </w:r>
      <w:proofErr w:type="gramEnd"/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k, (1,10)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dan b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 olmamak kayd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yla farkl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 belirlenmesi de m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r. Belirlenen katsay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lar, Resm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de ilan edilir.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proofErr w:type="gramStart"/>
      <w:r w:rsidRPr="0036137D">
        <w:rPr>
          <w:rFonts w:ascii="Times New Roman" w:eastAsia="ヒラギノ明朝 Pro W3" w:hAnsi="Times" w:cs="Times New Roman"/>
          <w:sz w:val="18"/>
          <w:szCs w:val="18"/>
        </w:rPr>
        <w:t>53.3</w:t>
      </w:r>
      <w:proofErr w:type="gramEnd"/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madde eklenmi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53.3. Ekonomik a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dan en avantajl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 teklifin fiyat d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ndaki unsurlar da dikkate al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narak belirlenmesi ile ilgili hususlar.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53.3.1.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Kanunun 40 </w:t>
      </w:r>
      <w:proofErr w:type="spellStart"/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nca, ekonomik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teklif; sadece fiyat esas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re belirlenebilece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 gibi fiyat ile birlikte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letme ve bak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m maliyeti, maliyet etkinli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i, verimlilik, kalite ve teknik de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er gibi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ndaki unsurlar dikkate al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narak belirlenebilmektedir. Ekonomik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teklif sahibinin hangi 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ntem kullan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larak belirlenebilece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 hususu tamamen idarenin takdirinde olup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unsurlar kullan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larak belirlenmesi durumunda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daki esaslara uyulmas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53.3.2.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unsurlar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n, Kanunun 5 inci maddesinde belirtilen ilkelere halel getirmeyecek bir bi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imde idari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artnamede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 ve net olarak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zenlenmesi gerekmektedir.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53.3.3.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artnamede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unsur olarak belirlenen hususlar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 parasal de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erlerinin veya nispi 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 belirlenmesi gerekmektedir.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53.3.4.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unsur olarak yaln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zca niceliksel unsurlar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 belirlenmesi zorunlu olmay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p bu kapsamda niteliksel belirlemeler de yap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labilir. Bu ba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lamda, ihale konusu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in beklenen kaliteye uygun olarak ger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tirilmesini sa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nelik parametreler, kamuya kar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kleniminde bulunan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lerin miktar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veya tutar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ndan kapasite durumu ya da ihale konusu 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 olu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turan bile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enler itibariyle isteklinin teklifi ile yakla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 maliyet yap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n birbiri ile uyumu gibi hususlar fiyat d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unsur olarak belirlenebilecektir.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6137D" w:rsidRPr="0036137D" w:rsidRDefault="0036137D" w:rsidP="0036137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613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613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6137D" w:rsidRPr="0036137D" w:rsidRDefault="0036137D" w:rsidP="0036137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36137D" w:rsidRPr="0036137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Tebli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ğ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in Yay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mland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ığı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 xml:space="preserve"> Resm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î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6137D" w:rsidRPr="0036137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Say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s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</w:p>
        </w:tc>
      </w:tr>
      <w:tr w:rsidR="0036137D" w:rsidRPr="0036137D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22/8/2009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27327</w:t>
            </w:r>
          </w:p>
        </w:tc>
      </w:tr>
      <w:tr w:rsidR="0036137D" w:rsidRPr="0036137D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Tebli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ğ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de De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ğ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i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ş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iklik Yapan Tebli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ğ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lerin Yay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mland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ığı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 xml:space="preserve"> Resm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î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36137D" w:rsidRPr="0036137D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Say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  <w:r w:rsidRPr="0036137D">
              <w:rPr>
                <w:rFonts w:ascii="Times New Roman" w:eastAsia="ヒラギノ明朝Pro W3" w:hAnsi="Times" w:cs="Times New Roman"/>
                <w:b/>
                <w:sz w:val="18"/>
                <w:szCs w:val="18"/>
              </w:rPr>
              <w:t>s</w:t>
            </w:r>
            <w:r w:rsidRPr="0036137D">
              <w:rPr>
                <w:rFonts w:ascii="Times New Roman" w:eastAsia="ヒラギノ明朝Pro W3" w:hAnsi="Times" w:cs="Times"/>
                <w:b/>
                <w:sz w:val="18"/>
                <w:szCs w:val="18"/>
              </w:rPr>
              <w:t>ı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27511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30/7/2010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27657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29/12/2010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27800 (6. M</w:t>
            </w:r>
            <w:r w:rsidRPr="0036137D">
              <w:rPr>
                <w:rFonts w:ascii="Times New Roman" w:eastAsia="ヒラギノ明朝Pro W3" w:hAnsi="Times" w:cs="Times"/>
                <w:sz w:val="18"/>
                <w:szCs w:val="18"/>
              </w:rPr>
              <w:t>ü</w:t>
            </w: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kerrer)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9/2/2011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27841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27911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20/8/2011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28031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15/7/2012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28354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13/8/2012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28383</w:t>
            </w:r>
          </w:p>
        </w:tc>
      </w:tr>
      <w:tr w:rsidR="0036137D" w:rsidRPr="0036137D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proofErr w:type="gramStart"/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13/4/2013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7D" w:rsidRPr="0036137D" w:rsidRDefault="0036137D" w:rsidP="0036137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" w:cs="Times New Roman"/>
                <w:sz w:val="18"/>
                <w:szCs w:val="18"/>
              </w:rPr>
            </w:pPr>
            <w:r w:rsidRPr="0036137D">
              <w:rPr>
                <w:rFonts w:ascii="Times New Roman" w:eastAsia="ヒラギノ明朝Pro W3" w:hAnsi="Times" w:cs="Times New Roman"/>
                <w:sz w:val="18"/>
                <w:szCs w:val="18"/>
              </w:rPr>
              <w:t>28617</w:t>
            </w:r>
          </w:p>
        </w:tc>
      </w:tr>
    </w:tbl>
    <w:p w:rsidR="0036137D" w:rsidRDefault="0036137D" w:rsidP="000E4D1B">
      <w:pPr>
        <w:pStyle w:val="1-Baslk"/>
        <w:spacing w:line="240" w:lineRule="exact"/>
        <w:ind w:firstLine="566"/>
        <w:rPr>
          <w:rFonts w:asciiTheme="minorHAnsi" w:hAnsiTheme="minorHAnsi"/>
          <w:b/>
          <w:szCs w:val="22"/>
          <w:u w:val="none"/>
        </w:rPr>
      </w:pPr>
    </w:p>
    <w:sectPr w:rsidR="0036137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9A" w:rsidRDefault="0060269A" w:rsidP="00CE6B7C">
      <w:pPr>
        <w:spacing w:after="0" w:line="240" w:lineRule="auto"/>
      </w:pPr>
      <w:r>
        <w:separator/>
      </w:r>
    </w:p>
  </w:endnote>
  <w:endnote w:type="continuationSeparator" w:id="0">
    <w:p w:rsidR="0060269A" w:rsidRDefault="0060269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141DF">
        <w:pPr>
          <w:pStyle w:val="Altbilgi"/>
          <w:jc w:val="center"/>
        </w:pPr>
        <w:fldSimple w:instr=" PAGE   \* MERGEFORMAT ">
          <w:r w:rsidR="0036137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9A" w:rsidRDefault="0060269A" w:rsidP="00CE6B7C">
      <w:pPr>
        <w:spacing w:after="0" w:line="240" w:lineRule="auto"/>
      </w:pPr>
      <w:r>
        <w:separator/>
      </w:r>
    </w:p>
  </w:footnote>
  <w:footnote w:type="continuationSeparator" w:id="0">
    <w:p w:rsidR="0060269A" w:rsidRDefault="0060269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800AB"/>
    <w:rsid w:val="00280E2B"/>
    <w:rsid w:val="002950D7"/>
    <w:rsid w:val="002E5D32"/>
    <w:rsid w:val="0031216B"/>
    <w:rsid w:val="0033048D"/>
    <w:rsid w:val="003320DC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459</Words>
  <Characters>2620</Characters>
  <Application>Microsoft Office Word</Application>
  <DocSecurity>0</DocSecurity>
  <Lines>21</Lines>
  <Paragraphs>6</Paragraphs>
  <ScaleCrop>false</ScaleCrop>
  <Company>TURMOB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174</cp:revision>
  <cp:lastPrinted>2013-08-21T14:33:00Z</cp:lastPrinted>
  <dcterms:created xsi:type="dcterms:W3CDTF">2013-06-03T05:31:00Z</dcterms:created>
  <dcterms:modified xsi:type="dcterms:W3CDTF">2013-08-23T05:24:00Z</dcterms:modified>
</cp:coreProperties>
</file>