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F47B23" w:rsidRDefault="00663356" w:rsidP="00663356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05</w:t>
      </w:r>
      <w:r w:rsidR="004F1E1E" w:rsidRPr="00F47B23">
        <w:rPr>
          <w:rFonts w:ascii="Times New Roman" w:hAnsi="Times New Roman" w:cs="Times New Roman"/>
          <w:b/>
          <w:sz w:val="20"/>
          <w:szCs w:val="20"/>
          <w:u w:val="single"/>
        </w:rPr>
        <w:t xml:space="preserve"> Eylül </w:t>
      </w:r>
      <w:proofErr w:type="spellStart"/>
      <w:r w:rsidR="004F1E1E" w:rsidRPr="00F47B23">
        <w:rPr>
          <w:rFonts w:ascii="Times New Roman" w:hAnsi="Times New Roman" w:cs="Times New Roman"/>
          <w:b/>
          <w:sz w:val="20"/>
          <w:szCs w:val="20"/>
          <w:u w:val="single"/>
        </w:rPr>
        <w:t>Eylül</w:t>
      </w:r>
      <w:proofErr w:type="spellEnd"/>
      <w:r w:rsidR="00802E28" w:rsidRPr="00F47B23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F47B2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F47B2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47B2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47B2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47B2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47B2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47B2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F47B23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F47B23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64C84" w:rsidRPr="00F47B23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28756</w:t>
      </w:r>
      <w:proofErr w:type="gramEnd"/>
    </w:p>
    <w:p w:rsidR="00E306F9" w:rsidRDefault="00E306F9" w:rsidP="00663356">
      <w:pPr>
        <w:pStyle w:val="1-Baslk"/>
        <w:spacing w:line="300" w:lineRule="atLeast"/>
        <w:ind w:firstLine="566"/>
        <w:rPr>
          <w:rFonts w:eastAsiaTheme="minorHAnsi" w:hAnsi="Times New Roman"/>
          <w:sz w:val="20"/>
          <w:u w:val="none"/>
        </w:rPr>
      </w:pPr>
    </w:p>
    <w:p w:rsidR="00663356" w:rsidRDefault="00663356" w:rsidP="00663356">
      <w:pPr>
        <w:spacing w:after="0" w:line="300" w:lineRule="atLeast"/>
        <w:jc w:val="both"/>
        <w:rPr>
          <w:rFonts w:ascii="Verdana" w:hAnsi="Verdana"/>
          <w:b/>
          <w:sz w:val="15"/>
          <w:szCs w:val="15"/>
        </w:rPr>
      </w:pPr>
      <w:r w:rsidRPr="00663356">
        <w:rPr>
          <w:rFonts w:ascii="Verdana" w:hAnsi="Verdana"/>
          <w:b/>
          <w:sz w:val="15"/>
          <w:szCs w:val="15"/>
        </w:rPr>
        <w:t>Bankacılık Düzenleme ve Denetleme Kurumundan:</w:t>
      </w:r>
    </w:p>
    <w:p w:rsidR="00663356" w:rsidRPr="00663356" w:rsidRDefault="00663356" w:rsidP="00663356">
      <w:pPr>
        <w:spacing w:after="0" w:line="300" w:lineRule="atLeast"/>
        <w:jc w:val="both"/>
        <w:rPr>
          <w:b/>
        </w:rPr>
      </w:pPr>
    </w:p>
    <w:p w:rsidR="00663356" w:rsidRDefault="00663356" w:rsidP="00663356">
      <w:pPr>
        <w:pStyle w:val="NormalWeb"/>
        <w:spacing w:before="0" w:beforeAutospacing="0" w:after="0" w:afterAutospacing="0" w:line="300" w:lineRule="atLeast"/>
        <w:jc w:val="center"/>
      </w:pPr>
      <w:r>
        <w:rPr>
          <w:rFonts w:ascii="Verdana" w:hAnsi="Verdana"/>
          <w:b/>
          <w:bCs/>
          <w:sz w:val="15"/>
          <w:szCs w:val="15"/>
        </w:rPr>
        <w:t>BANKALARIN SERMAYE YETERLİLİĞİNİN ÖLÇÜLMESİNE VE DEĞERLENDİRİLMESİNE İLİŞKİN YÖNETMELİKTE DEĞİŞİKLİK YAPILMASINA DAİR YÖNETMELİK</w:t>
      </w:r>
    </w:p>
    <w:p w:rsidR="00663356" w:rsidRDefault="00663356" w:rsidP="00663356">
      <w:pPr>
        <w:spacing w:after="0" w:line="300" w:lineRule="atLeast"/>
        <w:jc w:val="both"/>
      </w:pPr>
      <w:r>
        <w:rPr>
          <w:rStyle w:val="Gl"/>
          <w:rFonts w:ascii="Verdana" w:hAnsi="Verdana"/>
          <w:sz w:val="15"/>
          <w:szCs w:val="15"/>
        </w:rPr>
        <w:t>MADDE 1 – </w:t>
      </w:r>
      <w:proofErr w:type="gramStart"/>
      <w:r>
        <w:rPr>
          <w:rFonts w:ascii="Verdana" w:hAnsi="Verdana"/>
          <w:sz w:val="15"/>
          <w:szCs w:val="15"/>
        </w:rPr>
        <w:t>28/6/2012</w:t>
      </w:r>
      <w:proofErr w:type="gramEnd"/>
      <w:r>
        <w:rPr>
          <w:rFonts w:ascii="Verdana" w:hAnsi="Verdana"/>
          <w:sz w:val="15"/>
          <w:szCs w:val="15"/>
        </w:rPr>
        <w:t xml:space="preserve"> tarihli ve 28337 sayılı Resmî Gazete’de yayımlanan </w:t>
      </w:r>
      <w:r w:rsidRPr="00663356">
        <w:rPr>
          <w:rFonts w:ascii="Verdana" w:hAnsi="Verdana"/>
          <w:sz w:val="20"/>
          <w:szCs w:val="20"/>
        </w:rPr>
        <w:t>Bankaların Sermaye Yeterliliğinin Ölçülmesine ve Değerlendirilmesine İlişkin Yönetmeliğin</w:t>
      </w:r>
      <w:r>
        <w:rPr>
          <w:rFonts w:ascii="Verdana" w:hAnsi="Verdana"/>
          <w:sz w:val="15"/>
          <w:szCs w:val="15"/>
        </w:rPr>
        <w:t xml:space="preserve"> 3 üncü maddesinin birinci fıkrasına aşağıdaki bentler eklenmiştir.</w:t>
      </w:r>
    </w:p>
    <w:p w:rsidR="00663356" w:rsidRDefault="00663356" w:rsidP="00663356">
      <w:pPr>
        <w:spacing w:after="0" w:line="300" w:lineRule="atLeast"/>
        <w:jc w:val="both"/>
      </w:pPr>
      <w:r>
        <w:t> </w:t>
      </w:r>
    </w:p>
    <w:p w:rsidR="00663356" w:rsidRDefault="00663356" w:rsidP="00663356">
      <w:pPr>
        <w:spacing w:after="0" w:line="300" w:lineRule="atLeast"/>
        <w:jc w:val="both"/>
      </w:pPr>
      <w:r>
        <w:rPr>
          <w:rFonts w:ascii="Verdana" w:hAnsi="Verdana"/>
          <w:sz w:val="15"/>
          <w:szCs w:val="15"/>
        </w:rPr>
        <w:t>“</w:t>
      </w:r>
      <w:proofErr w:type="spellStart"/>
      <w:r>
        <w:rPr>
          <w:rFonts w:ascii="Verdana" w:hAnsi="Verdana"/>
          <w:sz w:val="15"/>
          <w:szCs w:val="15"/>
        </w:rPr>
        <w:t>ggg</w:t>
      </w:r>
      <w:proofErr w:type="spellEnd"/>
      <w:r>
        <w:rPr>
          <w:rFonts w:ascii="Verdana" w:hAnsi="Verdana"/>
          <w:sz w:val="15"/>
          <w:szCs w:val="15"/>
        </w:rPr>
        <w:t xml:space="preserve">) Ana sermaye: Bankaların </w:t>
      </w:r>
      <w:proofErr w:type="spellStart"/>
      <w:r>
        <w:rPr>
          <w:rFonts w:ascii="Verdana" w:hAnsi="Verdana"/>
          <w:sz w:val="15"/>
          <w:szCs w:val="15"/>
        </w:rPr>
        <w:t>Özkaynaklarına</w:t>
      </w:r>
      <w:proofErr w:type="spellEnd"/>
      <w:r>
        <w:rPr>
          <w:rFonts w:ascii="Verdana" w:hAnsi="Verdana"/>
          <w:sz w:val="15"/>
          <w:szCs w:val="15"/>
        </w:rPr>
        <w:t xml:space="preserve"> İlişkin </w:t>
      </w:r>
      <w:proofErr w:type="spellStart"/>
      <w:r>
        <w:rPr>
          <w:rFonts w:ascii="Verdana" w:hAnsi="Verdana"/>
          <w:sz w:val="15"/>
          <w:szCs w:val="15"/>
        </w:rPr>
        <w:t>Yönetmelik’te</w:t>
      </w:r>
      <w:proofErr w:type="spellEnd"/>
      <w:r>
        <w:rPr>
          <w:rFonts w:ascii="Verdana" w:hAnsi="Verdana"/>
          <w:sz w:val="15"/>
          <w:szCs w:val="15"/>
        </w:rPr>
        <w:t xml:space="preserve"> belirlenen usul ve esaslar çerçevesinde hesaplanacak ana sermayeyi,</w:t>
      </w:r>
    </w:p>
    <w:p w:rsidR="00663356" w:rsidRDefault="00663356" w:rsidP="00663356">
      <w:pPr>
        <w:spacing w:after="0" w:line="300" w:lineRule="atLeast"/>
        <w:jc w:val="both"/>
      </w:pPr>
      <w:r>
        <w:t> </w:t>
      </w:r>
      <w:proofErr w:type="spellStart"/>
      <w:r>
        <w:rPr>
          <w:rFonts w:ascii="Verdana" w:hAnsi="Verdana"/>
          <w:sz w:val="15"/>
          <w:szCs w:val="15"/>
        </w:rPr>
        <w:t>ğğğ</w:t>
      </w:r>
      <w:proofErr w:type="spellEnd"/>
      <w:r>
        <w:rPr>
          <w:rFonts w:ascii="Verdana" w:hAnsi="Verdana"/>
          <w:sz w:val="15"/>
          <w:szCs w:val="15"/>
        </w:rPr>
        <w:t xml:space="preserve">) Ana sermaye yeterliliği oranı: Konsolide olmayan </w:t>
      </w:r>
      <w:proofErr w:type="gramStart"/>
      <w:r>
        <w:rPr>
          <w:rFonts w:ascii="Verdana" w:hAnsi="Verdana"/>
          <w:sz w:val="15"/>
          <w:szCs w:val="15"/>
        </w:rPr>
        <w:t>bazda</w:t>
      </w:r>
      <w:proofErr w:type="gramEnd"/>
      <w:r>
        <w:rPr>
          <w:rFonts w:ascii="Verdana" w:hAnsi="Verdana"/>
          <w:sz w:val="15"/>
          <w:szCs w:val="15"/>
        </w:rPr>
        <w:t xml:space="preserve"> hesaplanan ana sermaye/(kredi riskine esas tutar + piyasa riskine esas tutar + </w:t>
      </w:r>
      <w:proofErr w:type="spellStart"/>
      <w:r>
        <w:rPr>
          <w:rFonts w:ascii="Verdana" w:hAnsi="Verdana"/>
          <w:sz w:val="15"/>
          <w:szCs w:val="15"/>
        </w:rPr>
        <w:t>operasyonel</w:t>
      </w:r>
      <w:proofErr w:type="spellEnd"/>
      <w:r>
        <w:rPr>
          <w:rFonts w:ascii="Verdana" w:hAnsi="Verdana"/>
          <w:sz w:val="15"/>
          <w:szCs w:val="15"/>
        </w:rPr>
        <w:t xml:space="preserve"> riske esas tutar) oranını,</w:t>
      </w:r>
    </w:p>
    <w:p w:rsidR="00663356" w:rsidRDefault="00663356" w:rsidP="00663356">
      <w:pPr>
        <w:spacing w:after="0" w:line="300" w:lineRule="atLeast"/>
        <w:jc w:val="both"/>
      </w:pPr>
      <w:r>
        <w:t> </w:t>
      </w:r>
      <w:proofErr w:type="spellStart"/>
      <w:r>
        <w:rPr>
          <w:rFonts w:ascii="Verdana" w:hAnsi="Verdana"/>
          <w:sz w:val="15"/>
          <w:szCs w:val="15"/>
        </w:rPr>
        <w:t>hhh</w:t>
      </w:r>
      <w:proofErr w:type="spellEnd"/>
      <w:r>
        <w:rPr>
          <w:rFonts w:ascii="Verdana" w:hAnsi="Verdana"/>
          <w:sz w:val="15"/>
          <w:szCs w:val="15"/>
        </w:rPr>
        <w:t xml:space="preserve">) Çekirdek sermaye: Bankaların </w:t>
      </w:r>
      <w:proofErr w:type="spellStart"/>
      <w:r>
        <w:rPr>
          <w:rFonts w:ascii="Verdana" w:hAnsi="Verdana"/>
          <w:sz w:val="15"/>
          <w:szCs w:val="15"/>
        </w:rPr>
        <w:t>Özkaynaklarına</w:t>
      </w:r>
      <w:proofErr w:type="spellEnd"/>
      <w:r>
        <w:rPr>
          <w:rFonts w:ascii="Verdana" w:hAnsi="Verdana"/>
          <w:sz w:val="15"/>
          <w:szCs w:val="15"/>
        </w:rPr>
        <w:t xml:space="preserve"> İlişkin </w:t>
      </w:r>
      <w:proofErr w:type="spellStart"/>
      <w:r>
        <w:rPr>
          <w:rFonts w:ascii="Verdana" w:hAnsi="Verdana"/>
          <w:sz w:val="15"/>
          <w:szCs w:val="15"/>
        </w:rPr>
        <w:t>Yönetmelik’te</w:t>
      </w:r>
      <w:proofErr w:type="spellEnd"/>
      <w:r>
        <w:rPr>
          <w:rFonts w:ascii="Verdana" w:hAnsi="Verdana"/>
          <w:sz w:val="15"/>
          <w:szCs w:val="15"/>
        </w:rPr>
        <w:t xml:space="preserve"> belirlenen usul ve esaslar çerçevesinde hesaplanacak çekirdek sermayeyi,</w:t>
      </w:r>
    </w:p>
    <w:p w:rsidR="00663356" w:rsidRDefault="00663356" w:rsidP="00663356">
      <w:pPr>
        <w:spacing w:after="0" w:line="300" w:lineRule="atLeast"/>
        <w:jc w:val="both"/>
      </w:pPr>
      <w:r>
        <w:t> </w:t>
      </w:r>
      <w:proofErr w:type="spellStart"/>
      <w:r>
        <w:rPr>
          <w:rFonts w:ascii="Verdana" w:hAnsi="Verdana"/>
          <w:sz w:val="15"/>
          <w:szCs w:val="15"/>
        </w:rPr>
        <w:t>ııı</w:t>
      </w:r>
      <w:proofErr w:type="spellEnd"/>
      <w:r>
        <w:rPr>
          <w:rFonts w:ascii="Verdana" w:hAnsi="Verdana"/>
          <w:sz w:val="15"/>
          <w:szCs w:val="15"/>
        </w:rPr>
        <w:t xml:space="preserve">) Çekirdek sermaye yeterliliği oranı: Konsolide olmayan </w:t>
      </w:r>
      <w:proofErr w:type="gramStart"/>
      <w:r>
        <w:rPr>
          <w:rFonts w:ascii="Verdana" w:hAnsi="Verdana"/>
          <w:sz w:val="15"/>
          <w:szCs w:val="15"/>
        </w:rPr>
        <w:t>bazda</w:t>
      </w:r>
      <w:proofErr w:type="gramEnd"/>
      <w:r>
        <w:rPr>
          <w:rFonts w:ascii="Verdana" w:hAnsi="Verdana"/>
          <w:sz w:val="15"/>
          <w:szCs w:val="15"/>
        </w:rPr>
        <w:t xml:space="preserve"> hesaplanan çekirdek sermaye/(kredi riskine esas tutar + piyasa riskine esas tutar + </w:t>
      </w:r>
      <w:proofErr w:type="spellStart"/>
      <w:r>
        <w:rPr>
          <w:rFonts w:ascii="Verdana" w:hAnsi="Verdana"/>
          <w:sz w:val="15"/>
          <w:szCs w:val="15"/>
        </w:rPr>
        <w:t>operasyonel</w:t>
      </w:r>
      <w:proofErr w:type="spellEnd"/>
      <w:r>
        <w:rPr>
          <w:rFonts w:ascii="Verdana" w:hAnsi="Verdana"/>
          <w:sz w:val="15"/>
          <w:szCs w:val="15"/>
        </w:rPr>
        <w:t xml:space="preserve"> riske esas tutar) oranını,</w:t>
      </w:r>
    </w:p>
    <w:p w:rsidR="00663356" w:rsidRDefault="00663356" w:rsidP="00663356">
      <w:pPr>
        <w:spacing w:after="0" w:line="300" w:lineRule="atLeast"/>
        <w:jc w:val="both"/>
      </w:pPr>
      <w:r>
        <w:t> </w:t>
      </w:r>
      <w:proofErr w:type="spellStart"/>
      <w:r>
        <w:rPr>
          <w:rFonts w:ascii="Verdana" w:hAnsi="Verdana"/>
          <w:sz w:val="15"/>
          <w:szCs w:val="15"/>
        </w:rPr>
        <w:t>iii</w:t>
      </w:r>
      <w:proofErr w:type="spellEnd"/>
      <w:r>
        <w:rPr>
          <w:rFonts w:ascii="Verdana" w:hAnsi="Verdana"/>
          <w:sz w:val="15"/>
          <w:szCs w:val="15"/>
        </w:rPr>
        <w:t xml:space="preserve">) Konsolide ana sermaye yeterliliği oranı: Konsolide </w:t>
      </w:r>
      <w:proofErr w:type="gramStart"/>
      <w:r>
        <w:rPr>
          <w:rFonts w:ascii="Verdana" w:hAnsi="Verdana"/>
          <w:sz w:val="15"/>
          <w:szCs w:val="15"/>
        </w:rPr>
        <w:t>bazda</w:t>
      </w:r>
      <w:proofErr w:type="gramEnd"/>
      <w:r>
        <w:rPr>
          <w:rFonts w:ascii="Verdana" w:hAnsi="Verdana"/>
          <w:sz w:val="15"/>
          <w:szCs w:val="15"/>
        </w:rPr>
        <w:t xml:space="preserve"> hesaplanan ana sermaye/ (kredi riskine esas tutar + piyasa riskine esas tutar + </w:t>
      </w:r>
      <w:proofErr w:type="spellStart"/>
      <w:r>
        <w:rPr>
          <w:rFonts w:ascii="Verdana" w:hAnsi="Verdana"/>
          <w:sz w:val="15"/>
          <w:szCs w:val="15"/>
        </w:rPr>
        <w:t>operasyonel</w:t>
      </w:r>
      <w:proofErr w:type="spellEnd"/>
      <w:r>
        <w:rPr>
          <w:rFonts w:ascii="Verdana" w:hAnsi="Verdana"/>
          <w:sz w:val="15"/>
          <w:szCs w:val="15"/>
        </w:rPr>
        <w:t xml:space="preserve"> riske esas tutar) oranını,</w:t>
      </w:r>
    </w:p>
    <w:p w:rsidR="00663356" w:rsidRDefault="00663356" w:rsidP="00663356">
      <w:pPr>
        <w:spacing w:after="0" w:line="300" w:lineRule="atLeast"/>
        <w:jc w:val="both"/>
      </w:pPr>
      <w:r>
        <w:t> </w:t>
      </w:r>
      <w:proofErr w:type="spellStart"/>
      <w:r>
        <w:rPr>
          <w:rFonts w:ascii="Verdana" w:hAnsi="Verdana"/>
          <w:sz w:val="15"/>
          <w:szCs w:val="15"/>
        </w:rPr>
        <w:t>jjj</w:t>
      </w:r>
      <w:proofErr w:type="spellEnd"/>
      <w:r>
        <w:rPr>
          <w:rFonts w:ascii="Verdana" w:hAnsi="Verdana"/>
          <w:sz w:val="15"/>
          <w:szCs w:val="15"/>
        </w:rPr>
        <w:t xml:space="preserve">) Konsolide çekirdek sermaye yeterliliği oranı: Konsolide </w:t>
      </w:r>
      <w:proofErr w:type="gramStart"/>
      <w:r>
        <w:rPr>
          <w:rFonts w:ascii="Verdana" w:hAnsi="Verdana"/>
          <w:sz w:val="15"/>
          <w:szCs w:val="15"/>
        </w:rPr>
        <w:t>bazda</w:t>
      </w:r>
      <w:proofErr w:type="gramEnd"/>
      <w:r>
        <w:rPr>
          <w:rFonts w:ascii="Verdana" w:hAnsi="Verdana"/>
          <w:sz w:val="15"/>
          <w:szCs w:val="15"/>
        </w:rPr>
        <w:t xml:space="preserve"> hesaplanan çekirdek sermaye/(kredi riskine esas tutar + piyasa riskine esas tutar + </w:t>
      </w:r>
      <w:proofErr w:type="spellStart"/>
      <w:r>
        <w:rPr>
          <w:rFonts w:ascii="Verdana" w:hAnsi="Verdana"/>
          <w:sz w:val="15"/>
          <w:szCs w:val="15"/>
        </w:rPr>
        <w:t>operasyonel</w:t>
      </w:r>
      <w:proofErr w:type="spellEnd"/>
      <w:r>
        <w:rPr>
          <w:rFonts w:ascii="Verdana" w:hAnsi="Verdana"/>
          <w:sz w:val="15"/>
          <w:szCs w:val="15"/>
        </w:rPr>
        <w:t xml:space="preserve"> riske esas tutar) oranını,”</w:t>
      </w:r>
    </w:p>
    <w:p w:rsidR="00663356" w:rsidRDefault="00663356" w:rsidP="00663356">
      <w:pPr>
        <w:spacing w:after="0" w:line="300" w:lineRule="atLeast"/>
        <w:jc w:val="both"/>
      </w:pPr>
      <w:r>
        <w:t> </w:t>
      </w:r>
    </w:p>
    <w:p w:rsidR="00663356" w:rsidRDefault="00663356" w:rsidP="00663356">
      <w:pPr>
        <w:spacing w:after="0" w:line="300" w:lineRule="atLeast"/>
        <w:jc w:val="both"/>
      </w:pPr>
      <w:r>
        <w:rPr>
          <w:rStyle w:val="Gl"/>
          <w:rFonts w:ascii="Verdana" w:hAnsi="Verdana"/>
          <w:sz w:val="15"/>
          <w:szCs w:val="15"/>
        </w:rPr>
        <w:t>MADDE 2 –</w:t>
      </w:r>
      <w:r>
        <w:rPr>
          <w:rFonts w:ascii="Verdana" w:hAnsi="Verdana"/>
          <w:sz w:val="15"/>
          <w:szCs w:val="15"/>
        </w:rPr>
        <w:t xml:space="preserve"> Aynı Yönetmeliğin 6 </w:t>
      </w:r>
      <w:proofErr w:type="spellStart"/>
      <w:r>
        <w:rPr>
          <w:rFonts w:ascii="Verdana" w:hAnsi="Verdana"/>
          <w:sz w:val="15"/>
          <w:szCs w:val="15"/>
        </w:rPr>
        <w:t>ncı</w:t>
      </w:r>
      <w:proofErr w:type="spellEnd"/>
      <w:r>
        <w:rPr>
          <w:rFonts w:ascii="Verdana" w:hAnsi="Verdana"/>
          <w:sz w:val="15"/>
          <w:szCs w:val="15"/>
        </w:rPr>
        <w:t xml:space="preserve"> maddesine yedinci fıkra olarak aşağıdaki fıkra eklenmiştir.</w:t>
      </w:r>
    </w:p>
    <w:p w:rsidR="00663356" w:rsidRDefault="00663356" w:rsidP="00663356">
      <w:pPr>
        <w:spacing w:after="0" w:line="300" w:lineRule="atLeast"/>
        <w:jc w:val="both"/>
      </w:pPr>
      <w:r>
        <w:t> </w:t>
      </w:r>
      <w:r>
        <w:rPr>
          <w:rFonts w:ascii="Verdana" w:hAnsi="Verdana"/>
          <w:sz w:val="15"/>
          <w:szCs w:val="15"/>
        </w:rPr>
        <w:t xml:space="preserve">“(7) Fazla ödenen vergiler, cari dönem vergi varlığı olarak değerlendirilerek Ek-1 kapsamında merkezi yönetimden alacaklar risk sınıfına </w:t>
      </w:r>
      <w:proofErr w:type="gramStart"/>
      <w:r>
        <w:rPr>
          <w:rFonts w:ascii="Verdana" w:hAnsi="Verdana"/>
          <w:sz w:val="15"/>
          <w:szCs w:val="15"/>
        </w:rPr>
        <w:t>dahil</w:t>
      </w:r>
      <w:proofErr w:type="gramEnd"/>
      <w:r>
        <w:rPr>
          <w:rFonts w:ascii="Verdana" w:hAnsi="Verdana"/>
          <w:sz w:val="15"/>
          <w:szCs w:val="15"/>
        </w:rPr>
        <w:t xml:space="preserve"> edilir.”</w:t>
      </w:r>
    </w:p>
    <w:p w:rsidR="00663356" w:rsidRDefault="00663356" w:rsidP="00663356">
      <w:pPr>
        <w:spacing w:after="0" w:line="300" w:lineRule="atLeast"/>
        <w:jc w:val="both"/>
      </w:pPr>
      <w:r>
        <w:t> </w:t>
      </w:r>
    </w:p>
    <w:p w:rsidR="00663356" w:rsidRDefault="00663356" w:rsidP="00663356">
      <w:pPr>
        <w:spacing w:after="0" w:line="300" w:lineRule="atLeast"/>
        <w:jc w:val="both"/>
      </w:pPr>
      <w:r>
        <w:rPr>
          <w:rStyle w:val="Gl"/>
          <w:rFonts w:ascii="Verdana" w:hAnsi="Verdana"/>
          <w:sz w:val="15"/>
          <w:szCs w:val="15"/>
        </w:rPr>
        <w:t>MADDE 3 –</w:t>
      </w:r>
      <w:r>
        <w:rPr>
          <w:rFonts w:ascii="Verdana" w:hAnsi="Verdana"/>
          <w:sz w:val="15"/>
          <w:szCs w:val="15"/>
        </w:rPr>
        <w:t> Aynı Yönetmeliğin 28 inci maddesine aşağıdaki fıkralar eklenmiştir.</w:t>
      </w:r>
    </w:p>
    <w:p w:rsidR="00663356" w:rsidRDefault="00663356" w:rsidP="00663356">
      <w:pPr>
        <w:spacing w:after="0" w:line="300" w:lineRule="atLeast"/>
        <w:jc w:val="both"/>
      </w:pPr>
      <w:r>
        <w:t> </w:t>
      </w:r>
      <w:r>
        <w:rPr>
          <w:rFonts w:ascii="Verdana" w:hAnsi="Verdana"/>
          <w:sz w:val="15"/>
          <w:szCs w:val="15"/>
        </w:rPr>
        <w:t>“(2) Ana sermaye yeterliliği oranının asgari yüzde altı olarak tutturulması ve idame ettirilmesi şarttır.</w:t>
      </w:r>
    </w:p>
    <w:p w:rsidR="00663356" w:rsidRDefault="00663356" w:rsidP="00663356">
      <w:pPr>
        <w:spacing w:after="0" w:line="300" w:lineRule="atLeast"/>
        <w:jc w:val="both"/>
      </w:pPr>
      <w:r>
        <w:t> </w:t>
      </w:r>
      <w:r>
        <w:rPr>
          <w:rFonts w:ascii="Verdana" w:hAnsi="Verdana"/>
          <w:sz w:val="15"/>
          <w:szCs w:val="15"/>
        </w:rPr>
        <w:t>(3) Çekirdek sermaye yeterliliği oranının asgari yüzde dört buçuk olarak tutturulması ve idame ettirilmesi şarttır.”</w:t>
      </w:r>
    </w:p>
    <w:p w:rsidR="00663356" w:rsidRDefault="00663356" w:rsidP="00663356">
      <w:pPr>
        <w:spacing w:after="0" w:line="300" w:lineRule="atLeast"/>
        <w:jc w:val="both"/>
      </w:pPr>
      <w:r>
        <w:t> </w:t>
      </w:r>
    </w:p>
    <w:p w:rsidR="00663356" w:rsidRDefault="00663356" w:rsidP="00663356">
      <w:pPr>
        <w:spacing w:after="0" w:line="300" w:lineRule="atLeast"/>
        <w:jc w:val="both"/>
      </w:pPr>
      <w:r>
        <w:rPr>
          <w:rStyle w:val="Gl"/>
          <w:rFonts w:ascii="Verdana" w:hAnsi="Verdana"/>
          <w:sz w:val="15"/>
          <w:szCs w:val="15"/>
        </w:rPr>
        <w:t>MADDE 4 –</w:t>
      </w:r>
      <w:r>
        <w:rPr>
          <w:rFonts w:ascii="Verdana" w:hAnsi="Verdana"/>
          <w:sz w:val="15"/>
          <w:szCs w:val="15"/>
        </w:rPr>
        <w:t> Aynı Yönetmeliğin 29 uncu maddesinin ikinci fıkrası aşağıdaki şekilde değiştirilmiş ve maddeye aşağıdaki fıkra eklenmiştir.</w:t>
      </w:r>
    </w:p>
    <w:p w:rsidR="00663356" w:rsidRDefault="00663356" w:rsidP="00663356">
      <w:pPr>
        <w:spacing w:after="0" w:line="300" w:lineRule="atLeast"/>
        <w:jc w:val="both"/>
      </w:pPr>
      <w:r>
        <w:t> </w:t>
      </w:r>
      <w:r>
        <w:rPr>
          <w:rFonts w:ascii="Verdana" w:hAnsi="Verdana"/>
          <w:sz w:val="15"/>
          <w:szCs w:val="15"/>
        </w:rPr>
        <w:t>“(2) Konsolide ana sermaye yeterliliği oranının asgari yüzde altı olarak tutturulması ve idame ettirilmesi şarttır.”</w:t>
      </w:r>
    </w:p>
    <w:p w:rsidR="00663356" w:rsidRDefault="00663356" w:rsidP="00663356">
      <w:pPr>
        <w:spacing w:after="0" w:line="300" w:lineRule="atLeast"/>
        <w:jc w:val="both"/>
      </w:pPr>
      <w:r>
        <w:t> </w:t>
      </w:r>
      <w:r>
        <w:rPr>
          <w:rFonts w:ascii="Verdana" w:hAnsi="Verdana"/>
          <w:sz w:val="15"/>
          <w:szCs w:val="15"/>
        </w:rPr>
        <w:t>“(3) Konsolide çekirdek sermaye yeterliliği oranının asgari yüzde dört buçuk olarak tutturulması ve idame ettirilmesi şarttır.”</w:t>
      </w:r>
    </w:p>
    <w:p w:rsidR="00663356" w:rsidRDefault="00663356" w:rsidP="00663356">
      <w:pPr>
        <w:spacing w:after="0" w:line="300" w:lineRule="atLeast"/>
        <w:jc w:val="both"/>
      </w:pPr>
      <w:r>
        <w:t> </w:t>
      </w:r>
    </w:p>
    <w:p w:rsidR="00663356" w:rsidRDefault="00663356" w:rsidP="00663356">
      <w:pPr>
        <w:spacing w:after="0" w:line="300" w:lineRule="atLeast"/>
        <w:jc w:val="both"/>
      </w:pPr>
      <w:r>
        <w:rPr>
          <w:rStyle w:val="Gl"/>
          <w:rFonts w:ascii="Verdana" w:hAnsi="Verdana"/>
          <w:sz w:val="15"/>
          <w:szCs w:val="15"/>
        </w:rPr>
        <w:t>MADDE 5 –</w:t>
      </w:r>
      <w:r>
        <w:rPr>
          <w:rFonts w:ascii="Verdana" w:hAnsi="Verdana"/>
          <w:sz w:val="15"/>
          <w:szCs w:val="15"/>
        </w:rPr>
        <w:t> Aynı Yönetmeliğin 30 uncu maddesinin birinci fıkrası aşağıdaki şekilde değiştirilmiştir.</w:t>
      </w:r>
    </w:p>
    <w:p w:rsidR="00663356" w:rsidRDefault="00663356" w:rsidP="00663356">
      <w:pPr>
        <w:spacing w:after="0" w:line="300" w:lineRule="atLeast"/>
        <w:jc w:val="both"/>
      </w:pPr>
      <w:r>
        <w:t> </w:t>
      </w:r>
      <w:r>
        <w:rPr>
          <w:rFonts w:ascii="Verdana" w:hAnsi="Verdana"/>
          <w:sz w:val="15"/>
          <w:szCs w:val="15"/>
        </w:rPr>
        <w:t xml:space="preserve">“(1) 28 ve 29 uncu maddelerde yer alan oranlar, Bankaların </w:t>
      </w:r>
      <w:proofErr w:type="spellStart"/>
      <w:r>
        <w:rPr>
          <w:rFonts w:ascii="Verdana" w:hAnsi="Verdana"/>
          <w:sz w:val="15"/>
          <w:szCs w:val="15"/>
        </w:rPr>
        <w:t>Özkaynaklarına</w:t>
      </w:r>
      <w:proofErr w:type="spellEnd"/>
      <w:r>
        <w:rPr>
          <w:rFonts w:ascii="Verdana" w:hAnsi="Verdana"/>
          <w:sz w:val="15"/>
          <w:szCs w:val="15"/>
        </w:rPr>
        <w:t xml:space="preserve"> İlişkin Yönetmelikte belirtilen </w:t>
      </w:r>
      <w:proofErr w:type="spellStart"/>
      <w:r>
        <w:rPr>
          <w:rFonts w:ascii="Verdana" w:hAnsi="Verdana"/>
          <w:sz w:val="15"/>
          <w:szCs w:val="15"/>
        </w:rPr>
        <w:t>özkaynak</w:t>
      </w:r>
      <w:proofErr w:type="spellEnd"/>
      <w:r>
        <w:rPr>
          <w:rFonts w:ascii="Verdana" w:hAnsi="Verdana"/>
          <w:sz w:val="15"/>
          <w:szCs w:val="15"/>
        </w:rPr>
        <w:t xml:space="preserve"> ve </w:t>
      </w:r>
      <w:proofErr w:type="gramStart"/>
      <w:r>
        <w:rPr>
          <w:rFonts w:ascii="Verdana" w:hAnsi="Verdana"/>
          <w:sz w:val="15"/>
          <w:szCs w:val="15"/>
        </w:rPr>
        <w:t>konsolide</w:t>
      </w:r>
      <w:proofErr w:type="gramEnd"/>
      <w:r>
        <w:rPr>
          <w:rFonts w:ascii="Verdana" w:hAnsi="Verdana"/>
          <w:sz w:val="15"/>
          <w:szCs w:val="15"/>
        </w:rPr>
        <w:t xml:space="preserve"> </w:t>
      </w:r>
      <w:proofErr w:type="spellStart"/>
      <w:r>
        <w:rPr>
          <w:rFonts w:ascii="Verdana" w:hAnsi="Verdana"/>
          <w:sz w:val="15"/>
          <w:szCs w:val="15"/>
        </w:rPr>
        <w:t>özkaynak</w:t>
      </w:r>
      <w:proofErr w:type="spellEnd"/>
      <w:r>
        <w:rPr>
          <w:rFonts w:ascii="Verdana" w:hAnsi="Verdana"/>
          <w:sz w:val="15"/>
          <w:szCs w:val="15"/>
        </w:rPr>
        <w:t xml:space="preserve"> hesaplama dönemleri itibarıyla hesaplanır ve dönemi izleyen otuz gün içerisinde Kuruma gönderilir.”</w:t>
      </w:r>
    </w:p>
    <w:p w:rsidR="00663356" w:rsidRDefault="00663356" w:rsidP="00663356">
      <w:pPr>
        <w:spacing w:after="0" w:line="300" w:lineRule="atLeast"/>
        <w:jc w:val="both"/>
      </w:pPr>
      <w:r>
        <w:t> </w:t>
      </w:r>
    </w:p>
    <w:p w:rsidR="00663356" w:rsidRDefault="00663356" w:rsidP="00663356">
      <w:pPr>
        <w:spacing w:after="0" w:line="300" w:lineRule="atLeast"/>
        <w:jc w:val="both"/>
      </w:pPr>
      <w:r>
        <w:rPr>
          <w:rStyle w:val="Gl"/>
          <w:rFonts w:ascii="Verdana" w:hAnsi="Verdana"/>
          <w:sz w:val="15"/>
          <w:szCs w:val="15"/>
        </w:rPr>
        <w:t>MADDE 6 –</w:t>
      </w:r>
      <w:r>
        <w:rPr>
          <w:rFonts w:ascii="Verdana" w:hAnsi="Verdana"/>
          <w:sz w:val="15"/>
          <w:szCs w:val="15"/>
        </w:rPr>
        <w:t> Aynı Yönetmeliğin Ek-1’inin birinci bölümünde yer alan 75 inci paragrafı aşağıdaki şekilde değiştirilmiş ve aynı bölüme aşağıdaki paragraflar eklenmiştir.</w:t>
      </w:r>
    </w:p>
    <w:p w:rsidR="00663356" w:rsidRDefault="00663356" w:rsidP="00663356">
      <w:pPr>
        <w:spacing w:after="0" w:line="300" w:lineRule="atLeast"/>
        <w:jc w:val="both"/>
      </w:pPr>
      <w:r>
        <w:t> </w:t>
      </w:r>
    </w:p>
    <w:p w:rsidR="00663356" w:rsidRDefault="00663356" w:rsidP="00663356">
      <w:pPr>
        <w:spacing w:after="0" w:line="300" w:lineRule="atLeast"/>
        <w:jc w:val="both"/>
      </w:pPr>
      <w:r>
        <w:rPr>
          <w:rFonts w:ascii="Verdana" w:hAnsi="Verdana"/>
          <w:sz w:val="15"/>
          <w:szCs w:val="15"/>
        </w:rPr>
        <w:lastRenderedPageBreak/>
        <w:t xml:space="preserve">“75. Kanunun 56 </w:t>
      </w:r>
      <w:proofErr w:type="spellStart"/>
      <w:r>
        <w:rPr>
          <w:rFonts w:ascii="Verdana" w:hAnsi="Verdana"/>
          <w:sz w:val="15"/>
          <w:szCs w:val="15"/>
        </w:rPr>
        <w:t>ncı</w:t>
      </w:r>
      <w:proofErr w:type="spellEnd"/>
      <w:r>
        <w:rPr>
          <w:rFonts w:ascii="Verdana" w:hAnsi="Verdana"/>
          <w:sz w:val="15"/>
          <w:szCs w:val="15"/>
        </w:rPr>
        <w:t xml:space="preserve"> maddesinin birinci fıkrasında belirtilen sınırların aşılması halinde söz konusu aşım tutarı % 1250 risk ağırlığına tabi tutulur.”</w:t>
      </w:r>
    </w:p>
    <w:p w:rsidR="00663356" w:rsidRDefault="00663356" w:rsidP="00663356">
      <w:pPr>
        <w:spacing w:after="0" w:line="300" w:lineRule="atLeast"/>
        <w:jc w:val="both"/>
      </w:pPr>
      <w:r>
        <w:t> </w:t>
      </w:r>
    </w:p>
    <w:p w:rsidR="00663356" w:rsidRDefault="00663356" w:rsidP="00663356">
      <w:pPr>
        <w:spacing w:after="0" w:line="300" w:lineRule="atLeast"/>
        <w:jc w:val="both"/>
      </w:pPr>
      <w:r>
        <w:rPr>
          <w:rFonts w:ascii="Verdana" w:hAnsi="Verdana"/>
          <w:sz w:val="15"/>
          <w:szCs w:val="15"/>
        </w:rPr>
        <w:t xml:space="preserve">“75A. Bankaların </w:t>
      </w:r>
      <w:proofErr w:type="spellStart"/>
      <w:r>
        <w:rPr>
          <w:rFonts w:ascii="Verdana" w:hAnsi="Verdana"/>
          <w:sz w:val="15"/>
          <w:szCs w:val="15"/>
        </w:rPr>
        <w:t>Özkaynaklarına</w:t>
      </w:r>
      <w:proofErr w:type="spellEnd"/>
      <w:r>
        <w:rPr>
          <w:rFonts w:ascii="Verdana" w:hAnsi="Verdana"/>
          <w:sz w:val="15"/>
          <w:szCs w:val="15"/>
        </w:rPr>
        <w:t xml:space="preserve"> İlişkin Yönetmeliğin 9 uncu maddesinin dördüncü fıkrasının (ç) bendinde belirtilen kalemlerin çekirdek sermayeden indirilmeyen kısımları % 250 risk ağırlığına tabi tutulur.</w:t>
      </w:r>
    </w:p>
    <w:p w:rsidR="00663356" w:rsidRDefault="00663356" w:rsidP="00663356">
      <w:pPr>
        <w:spacing w:after="0" w:line="300" w:lineRule="atLeast"/>
        <w:jc w:val="both"/>
      </w:pPr>
      <w:r>
        <w:t> </w:t>
      </w:r>
    </w:p>
    <w:p w:rsidR="00663356" w:rsidRDefault="00663356" w:rsidP="00663356">
      <w:pPr>
        <w:spacing w:after="0" w:line="300" w:lineRule="atLeast"/>
        <w:jc w:val="both"/>
      </w:pPr>
      <w:r>
        <w:rPr>
          <w:rFonts w:ascii="Verdana" w:hAnsi="Verdana"/>
          <w:sz w:val="15"/>
          <w:szCs w:val="15"/>
        </w:rPr>
        <w:t xml:space="preserve">75B. Bankaların </w:t>
      </w:r>
      <w:proofErr w:type="spellStart"/>
      <w:r>
        <w:rPr>
          <w:rFonts w:ascii="Verdana" w:hAnsi="Verdana"/>
          <w:sz w:val="15"/>
          <w:szCs w:val="15"/>
        </w:rPr>
        <w:t>Özkaynaklarına</w:t>
      </w:r>
      <w:proofErr w:type="spellEnd"/>
      <w:r>
        <w:rPr>
          <w:rFonts w:ascii="Verdana" w:hAnsi="Verdana"/>
          <w:sz w:val="15"/>
          <w:szCs w:val="15"/>
        </w:rPr>
        <w:t xml:space="preserve"> İlişkin Yönetmeliğin 9 uncu maddesinin dördüncü fıkrasının (b) bendinde belirtilen yatırımların </w:t>
      </w:r>
      <w:proofErr w:type="spellStart"/>
      <w:r>
        <w:rPr>
          <w:rFonts w:ascii="Verdana" w:hAnsi="Verdana"/>
          <w:sz w:val="15"/>
          <w:szCs w:val="15"/>
        </w:rPr>
        <w:t>özkaynaktan</w:t>
      </w:r>
      <w:proofErr w:type="spellEnd"/>
      <w:r>
        <w:rPr>
          <w:rFonts w:ascii="Verdana" w:hAnsi="Verdana"/>
          <w:sz w:val="15"/>
          <w:szCs w:val="15"/>
        </w:rPr>
        <w:t xml:space="preserve"> indirilmeyen kısımları ile 75 ve 75A paragrafları kapsamına girmeyen hisse senetleri ve benzeri yatırımlar % 100 risk ağırlığına tabi tutulur.”</w:t>
      </w:r>
    </w:p>
    <w:p w:rsidR="00663356" w:rsidRDefault="00663356" w:rsidP="00663356">
      <w:pPr>
        <w:pStyle w:val="NormalWeb"/>
        <w:spacing w:before="0" w:beforeAutospacing="0" w:after="0" w:afterAutospacing="0" w:line="300" w:lineRule="atLeast"/>
      </w:pPr>
      <w:r>
        <w:rPr>
          <w:rStyle w:val="Gl"/>
          <w:rFonts w:ascii="Verdana" w:hAnsi="Verdana"/>
          <w:sz w:val="15"/>
          <w:szCs w:val="15"/>
        </w:rPr>
        <w:t>MADDE 7 –</w:t>
      </w:r>
      <w:r>
        <w:rPr>
          <w:rFonts w:ascii="Verdana" w:hAnsi="Verdana"/>
          <w:sz w:val="15"/>
          <w:szCs w:val="15"/>
        </w:rPr>
        <w:t xml:space="preserve"> Bu Yönetmelik </w:t>
      </w:r>
      <w:proofErr w:type="gramStart"/>
      <w:r>
        <w:rPr>
          <w:rFonts w:ascii="Verdana" w:hAnsi="Verdana"/>
          <w:sz w:val="15"/>
          <w:szCs w:val="15"/>
        </w:rPr>
        <w:t>1/1/2014</w:t>
      </w:r>
      <w:proofErr w:type="gramEnd"/>
      <w:r>
        <w:rPr>
          <w:rFonts w:ascii="Verdana" w:hAnsi="Verdana"/>
          <w:sz w:val="15"/>
          <w:szCs w:val="15"/>
        </w:rPr>
        <w:t xml:space="preserve"> tarihinde yürürlüğe girer.</w:t>
      </w:r>
    </w:p>
    <w:p w:rsidR="00663356" w:rsidRDefault="00663356" w:rsidP="00663356">
      <w:pPr>
        <w:pStyle w:val="NormalWeb"/>
        <w:spacing w:before="0" w:beforeAutospacing="0" w:after="0" w:afterAutospacing="0" w:line="300" w:lineRule="atLeast"/>
      </w:pPr>
      <w:r>
        <w:rPr>
          <w:rStyle w:val="Gl"/>
          <w:rFonts w:ascii="Verdana" w:hAnsi="Verdana"/>
          <w:sz w:val="15"/>
          <w:szCs w:val="15"/>
        </w:rPr>
        <w:t>MADDE 8 –</w:t>
      </w:r>
      <w:r>
        <w:rPr>
          <w:rFonts w:ascii="Verdana" w:hAnsi="Verdana"/>
          <w:sz w:val="15"/>
          <w:szCs w:val="15"/>
        </w:rPr>
        <w:t> Bu Yönetmelik hükümlerini Bankacılık Düzenleme ve Denetleme Kurumu Başkanı yürütür.</w:t>
      </w:r>
    </w:p>
    <w:p w:rsidR="00663356" w:rsidRDefault="00663356" w:rsidP="00663356">
      <w:pPr>
        <w:pStyle w:val="NormalWeb"/>
        <w:spacing w:before="0" w:beforeAutospacing="0" w:after="0" w:afterAutospacing="0" w:line="300" w:lineRule="atLeast"/>
        <w:jc w:val="center"/>
      </w:pPr>
      <w:r>
        <w:rPr>
          <w:rFonts w:ascii="Verdana" w:hAnsi="Verdana"/>
          <w:sz w:val="15"/>
          <w:szCs w:val="15"/>
        </w:rPr>
        <w:t> </w:t>
      </w:r>
    </w:p>
    <w:tbl>
      <w:tblPr>
        <w:tblW w:w="8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60"/>
        <w:gridCol w:w="4245"/>
      </w:tblGrid>
      <w:tr w:rsidR="00663356">
        <w:trPr>
          <w:trHeight w:val="450"/>
          <w:tblCellSpacing w:w="0" w:type="dxa"/>
          <w:jc w:val="center"/>
        </w:trPr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356" w:rsidRDefault="00663356" w:rsidP="00663356">
            <w:pPr>
              <w:pStyle w:val="NormalWeb"/>
              <w:spacing w:before="0" w:beforeAutospacing="0" w:after="0" w:afterAutospacing="0" w:line="300" w:lineRule="atLeast"/>
              <w:jc w:val="center"/>
            </w:pPr>
            <w:r>
              <w:rPr>
                <w:rStyle w:val="Gl"/>
                <w:rFonts w:ascii="Verdana" w:hAnsi="Verdana"/>
                <w:sz w:val="15"/>
                <w:szCs w:val="15"/>
              </w:rPr>
              <w:t>Yönetmeliğin Yayımlandığı Resmî Gazete'nin</w:t>
            </w:r>
          </w:p>
        </w:tc>
      </w:tr>
      <w:tr w:rsidR="00663356">
        <w:trPr>
          <w:trHeight w:val="450"/>
          <w:tblCellSpacing w:w="0" w:type="dxa"/>
          <w:jc w:val="center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356" w:rsidRDefault="00663356" w:rsidP="00663356">
            <w:pPr>
              <w:pStyle w:val="NormalWeb"/>
              <w:spacing w:before="0" w:beforeAutospacing="0" w:after="0" w:afterAutospacing="0" w:line="300" w:lineRule="atLeast"/>
              <w:jc w:val="center"/>
            </w:pPr>
            <w:r>
              <w:rPr>
                <w:rStyle w:val="Gl"/>
                <w:rFonts w:ascii="Verdana" w:hAnsi="Verdana"/>
                <w:sz w:val="15"/>
                <w:szCs w:val="15"/>
              </w:rPr>
              <w:t>Tarihi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356" w:rsidRDefault="00663356" w:rsidP="00663356">
            <w:pPr>
              <w:pStyle w:val="NormalWeb"/>
              <w:spacing w:before="0" w:beforeAutospacing="0" w:after="0" w:afterAutospacing="0" w:line="300" w:lineRule="atLeast"/>
              <w:jc w:val="center"/>
            </w:pPr>
            <w:r>
              <w:rPr>
                <w:rStyle w:val="Gl"/>
                <w:rFonts w:ascii="Verdana" w:hAnsi="Verdana"/>
                <w:sz w:val="15"/>
                <w:szCs w:val="15"/>
              </w:rPr>
              <w:t xml:space="preserve">Sayısı </w:t>
            </w:r>
          </w:p>
        </w:tc>
      </w:tr>
      <w:tr w:rsidR="00663356">
        <w:trPr>
          <w:trHeight w:val="450"/>
          <w:tblCellSpacing w:w="0" w:type="dxa"/>
          <w:jc w:val="center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356" w:rsidRDefault="00663356" w:rsidP="00663356">
            <w:pPr>
              <w:pStyle w:val="NormalWeb"/>
              <w:spacing w:before="0" w:beforeAutospacing="0" w:after="0" w:afterAutospacing="0" w:line="300" w:lineRule="atLeast"/>
              <w:jc w:val="center"/>
            </w:pPr>
            <w:proofErr w:type="gramStart"/>
            <w:r>
              <w:rPr>
                <w:rFonts w:ascii="Verdana" w:hAnsi="Verdana"/>
                <w:sz w:val="15"/>
                <w:szCs w:val="15"/>
              </w:rPr>
              <w:t>28/6/2012</w:t>
            </w:r>
            <w:proofErr w:type="gramEnd"/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356" w:rsidRDefault="00663356" w:rsidP="00663356">
            <w:pPr>
              <w:pStyle w:val="NormalWeb"/>
              <w:spacing w:before="0" w:beforeAutospacing="0" w:after="0" w:afterAutospacing="0" w:line="300" w:lineRule="atLeast"/>
              <w:jc w:val="center"/>
            </w:pPr>
            <w:r>
              <w:rPr>
                <w:rFonts w:ascii="Verdana" w:hAnsi="Verdana"/>
                <w:sz w:val="15"/>
                <w:szCs w:val="15"/>
              </w:rPr>
              <w:t>28337</w:t>
            </w:r>
          </w:p>
        </w:tc>
      </w:tr>
    </w:tbl>
    <w:p w:rsidR="00663356" w:rsidRDefault="00663356" w:rsidP="00663356">
      <w:pPr>
        <w:pStyle w:val="1-Baslk"/>
        <w:spacing w:line="300" w:lineRule="atLeast"/>
        <w:ind w:firstLine="566"/>
        <w:rPr>
          <w:rFonts w:eastAsiaTheme="minorHAnsi" w:hAnsi="Times New Roman"/>
          <w:sz w:val="20"/>
          <w:u w:val="none"/>
        </w:rPr>
      </w:pPr>
    </w:p>
    <w:sectPr w:rsidR="00663356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8C5" w:rsidRDefault="00F968C5" w:rsidP="00CE6B7C">
      <w:pPr>
        <w:spacing w:after="0" w:line="240" w:lineRule="auto"/>
      </w:pPr>
      <w:r>
        <w:separator/>
      </w:r>
    </w:p>
  </w:endnote>
  <w:endnote w:type="continuationSeparator" w:id="0">
    <w:p w:rsidR="00F968C5" w:rsidRDefault="00F968C5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7059A2">
        <w:pPr>
          <w:pStyle w:val="Altbilgi"/>
          <w:jc w:val="center"/>
        </w:pPr>
        <w:fldSimple w:instr=" PAGE   \* MERGEFORMAT ">
          <w:r w:rsidR="00663356">
            <w:rPr>
              <w:noProof/>
            </w:rPr>
            <w:t>2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8C5" w:rsidRDefault="00F968C5" w:rsidP="00CE6B7C">
      <w:pPr>
        <w:spacing w:after="0" w:line="240" w:lineRule="auto"/>
      </w:pPr>
      <w:r>
        <w:separator/>
      </w:r>
    </w:p>
  </w:footnote>
  <w:footnote w:type="continuationSeparator" w:id="0">
    <w:p w:rsidR="00F968C5" w:rsidRDefault="00F968C5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13F60"/>
    <w:rsid w:val="0001626C"/>
    <w:rsid w:val="000370C9"/>
    <w:rsid w:val="00067394"/>
    <w:rsid w:val="00073B7C"/>
    <w:rsid w:val="0008602A"/>
    <w:rsid w:val="0009553A"/>
    <w:rsid w:val="00097FB1"/>
    <w:rsid w:val="000B4DEA"/>
    <w:rsid w:val="000D0A63"/>
    <w:rsid w:val="000D7DBE"/>
    <w:rsid w:val="000E37F2"/>
    <w:rsid w:val="000E4D1B"/>
    <w:rsid w:val="000E72F9"/>
    <w:rsid w:val="000F571B"/>
    <w:rsid w:val="00104EE1"/>
    <w:rsid w:val="00110B58"/>
    <w:rsid w:val="00111BFD"/>
    <w:rsid w:val="00120B8D"/>
    <w:rsid w:val="001247BF"/>
    <w:rsid w:val="0012501B"/>
    <w:rsid w:val="0014329D"/>
    <w:rsid w:val="00152242"/>
    <w:rsid w:val="00161128"/>
    <w:rsid w:val="00187B66"/>
    <w:rsid w:val="001917EB"/>
    <w:rsid w:val="00193767"/>
    <w:rsid w:val="0019505A"/>
    <w:rsid w:val="00195C8D"/>
    <w:rsid w:val="0019652E"/>
    <w:rsid w:val="001B1871"/>
    <w:rsid w:val="001B789E"/>
    <w:rsid w:val="001E375F"/>
    <w:rsid w:val="001F76B8"/>
    <w:rsid w:val="00211F4F"/>
    <w:rsid w:val="002141DF"/>
    <w:rsid w:val="0022592F"/>
    <w:rsid w:val="00231ECE"/>
    <w:rsid w:val="002411CD"/>
    <w:rsid w:val="00241612"/>
    <w:rsid w:val="00272AE6"/>
    <w:rsid w:val="00273004"/>
    <w:rsid w:val="002800AB"/>
    <w:rsid w:val="00280E2B"/>
    <w:rsid w:val="002950D7"/>
    <w:rsid w:val="00296147"/>
    <w:rsid w:val="002E5D32"/>
    <w:rsid w:val="003008ED"/>
    <w:rsid w:val="0031216B"/>
    <w:rsid w:val="0033048D"/>
    <w:rsid w:val="003320DC"/>
    <w:rsid w:val="00332167"/>
    <w:rsid w:val="003364E7"/>
    <w:rsid w:val="00347531"/>
    <w:rsid w:val="0036137D"/>
    <w:rsid w:val="00361C6C"/>
    <w:rsid w:val="003670F6"/>
    <w:rsid w:val="00384FF4"/>
    <w:rsid w:val="003B147D"/>
    <w:rsid w:val="003E36BC"/>
    <w:rsid w:val="003F0A2F"/>
    <w:rsid w:val="003F0E00"/>
    <w:rsid w:val="00404668"/>
    <w:rsid w:val="00411676"/>
    <w:rsid w:val="004155DE"/>
    <w:rsid w:val="00424075"/>
    <w:rsid w:val="00424401"/>
    <w:rsid w:val="00446947"/>
    <w:rsid w:val="00471908"/>
    <w:rsid w:val="00471995"/>
    <w:rsid w:val="00472BF0"/>
    <w:rsid w:val="00482506"/>
    <w:rsid w:val="004A47BB"/>
    <w:rsid w:val="004B600A"/>
    <w:rsid w:val="004C49B1"/>
    <w:rsid w:val="004C5729"/>
    <w:rsid w:val="004C64B0"/>
    <w:rsid w:val="004D0380"/>
    <w:rsid w:val="004D1A8C"/>
    <w:rsid w:val="004E2415"/>
    <w:rsid w:val="004E3D3E"/>
    <w:rsid w:val="004F1E1E"/>
    <w:rsid w:val="00500FD6"/>
    <w:rsid w:val="00516E98"/>
    <w:rsid w:val="00524D36"/>
    <w:rsid w:val="00527A1F"/>
    <w:rsid w:val="00546D35"/>
    <w:rsid w:val="005605A2"/>
    <w:rsid w:val="005727E1"/>
    <w:rsid w:val="005A426C"/>
    <w:rsid w:val="005B27B7"/>
    <w:rsid w:val="005B44D8"/>
    <w:rsid w:val="005C4142"/>
    <w:rsid w:val="005C5A15"/>
    <w:rsid w:val="005F5004"/>
    <w:rsid w:val="0060269A"/>
    <w:rsid w:val="006179B6"/>
    <w:rsid w:val="00622266"/>
    <w:rsid w:val="00627628"/>
    <w:rsid w:val="00630C78"/>
    <w:rsid w:val="006312D4"/>
    <w:rsid w:val="006332A4"/>
    <w:rsid w:val="0064293F"/>
    <w:rsid w:val="00654433"/>
    <w:rsid w:val="00656E8E"/>
    <w:rsid w:val="00663356"/>
    <w:rsid w:val="00667BFC"/>
    <w:rsid w:val="00672F9D"/>
    <w:rsid w:val="006B04AF"/>
    <w:rsid w:val="006C0014"/>
    <w:rsid w:val="006C00B8"/>
    <w:rsid w:val="006C09BF"/>
    <w:rsid w:val="007059A2"/>
    <w:rsid w:val="007114EF"/>
    <w:rsid w:val="0072024B"/>
    <w:rsid w:val="0072766F"/>
    <w:rsid w:val="007309FF"/>
    <w:rsid w:val="00735829"/>
    <w:rsid w:val="007420E4"/>
    <w:rsid w:val="0074650B"/>
    <w:rsid w:val="00765CA5"/>
    <w:rsid w:val="007708A4"/>
    <w:rsid w:val="00781196"/>
    <w:rsid w:val="007819EA"/>
    <w:rsid w:val="007835EC"/>
    <w:rsid w:val="007C55B8"/>
    <w:rsid w:val="007C6B47"/>
    <w:rsid w:val="007D4F0A"/>
    <w:rsid w:val="007E5254"/>
    <w:rsid w:val="007F73A7"/>
    <w:rsid w:val="00802E28"/>
    <w:rsid w:val="008332C5"/>
    <w:rsid w:val="00837276"/>
    <w:rsid w:val="00843669"/>
    <w:rsid w:val="00846A18"/>
    <w:rsid w:val="0085186D"/>
    <w:rsid w:val="008527AB"/>
    <w:rsid w:val="00853F74"/>
    <w:rsid w:val="00867B1E"/>
    <w:rsid w:val="0087102D"/>
    <w:rsid w:val="00887767"/>
    <w:rsid w:val="00893744"/>
    <w:rsid w:val="008B6984"/>
    <w:rsid w:val="008C25B5"/>
    <w:rsid w:val="008D6AFF"/>
    <w:rsid w:val="008E2DD9"/>
    <w:rsid w:val="008E3EA9"/>
    <w:rsid w:val="008E6D17"/>
    <w:rsid w:val="0090323C"/>
    <w:rsid w:val="00904273"/>
    <w:rsid w:val="00915BF0"/>
    <w:rsid w:val="00921D9E"/>
    <w:rsid w:val="00923F02"/>
    <w:rsid w:val="009414DE"/>
    <w:rsid w:val="00941744"/>
    <w:rsid w:val="00951485"/>
    <w:rsid w:val="009701B6"/>
    <w:rsid w:val="00980465"/>
    <w:rsid w:val="009857E1"/>
    <w:rsid w:val="009928D2"/>
    <w:rsid w:val="009933CE"/>
    <w:rsid w:val="009954C1"/>
    <w:rsid w:val="0099686A"/>
    <w:rsid w:val="009A0BF0"/>
    <w:rsid w:val="009A0CB4"/>
    <w:rsid w:val="009B38FA"/>
    <w:rsid w:val="009C7990"/>
    <w:rsid w:val="009D40B9"/>
    <w:rsid w:val="009D4B87"/>
    <w:rsid w:val="009D64C8"/>
    <w:rsid w:val="009F160C"/>
    <w:rsid w:val="00A02020"/>
    <w:rsid w:val="00A0296A"/>
    <w:rsid w:val="00A10B71"/>
    <w:rsid w:val="00A35196"/>
    <w:rsid w:val="00A379EB"/>
    <w:rsid w:val="00A47322"/>
    <w:rsid w:val="00A54D74"/>
    <w:rsid w:val="00A854B5"/>
    <w:rsid w:val="00A904D7"/>
    <w:rsid w:val="00AA786A"/>
    <w:rsid w:val="00AB21EA"/>
    <w:rsid w:val="00AC0A86"/>
    <w:rsid w:val="00AC4286"/>
    <w:rsid w:val="00AD069C"/>
    <w:rsid w:val="00AF4CAE"/>
    <w:rsid w:val="00AF740D"/>
    <w:rsid w:val="00B11978"/>
    <w:rsid w:val="00B159E5"/>
    <w:rsid w:val="00B27AEA"/>
    <w:rsid w:val="00B461F1"/>
    <w:rsid w:val="00B6449C"/>
    <w:rsid w:val="00B65BBB"/>
    <w:rsid w:val="00B713A8"/>
    <w:rsid w:val="00B83A47"/>
    <w:rsid w:val="00B86BFF"/>
    <w:rsid w:val="00B9274C"/>
    <w:rsid w:val="00BA2DE9"/>
    <w:rsid w:val="00BA3089"/>
    <w:rsid w:val="00BC1244"/>
    <w:rsid w:val="00BC1C79"/>
    <w:rsid w:val="00BD1E1C"/>
    <w:rsid w:val="00BD61D6"/>
    <w:rsid w:val="00BF2F3F"/>
    <w:rsid w:val="00C05E0B"/>
    <w:rsid w:val="00C0738B"/>
    <w:rsid w:val="00C107EE"/>
    <w:rsid w:val="00C17F93"/>
    <w:rsid w:val="00C2055D"/>
    <w:rsid w:val="00C23AB6"/>
    <w:rsid w:val="00C3409B"/>
    <w:rsid w:val="00C44A38"/>
    <w:rsid w:val="00C62ADE"/>
    <w:rsid w:val="00C64C84"/>
    <w:rsid w:val="00C67988"/>
    <w:rsid w:val="00C67A24"/>
    <w:rsid w:val="00C74A44"/>
    <w:rsid w:val="00C82345"/>
    <w:rsid w:val="00C86466"/>
    <w:rsid w:val="00C9401D"/>
    <w:rsid w:val="00C94610"/>
    <w:rsid w:val="00CC5847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60837"/>
    <w:rsid w:val="00D930A9"/>
    <w:rsid w:val="00D9489C"/>
    <w:rsid w:val="00DA5C28"/>
    <w:rsid w:val="00DB4B0E"/>
    <w:rsid w:val="00DD7D93"/>
    <w:rsid w:val="00DF3052"/>
    <w:rsid w:val="00DF39BC"/>
    <w:rsid w:val="00E00282"/>
    <w:rsid w:val="00E23160"/>
    <w:rsid w:val="00E23ADD"/>
    <w:rsid w:val="00E27D06"/>
    <w:rsid w:val="00E306F9"/>
    <w:rsid w:val="00E312B5"/>
    <w:rsid w:val="00E3660E"/>
    <w:rsid w:val="00E43E56"/>
    <w:rsid w:val="00E628B5"/>
    <w:rsid w:val="00E74904"/>
    <w:rsid w:val="00E96B82"/>
    <w:rsid w:val="00EA652E"/>
    <w:rsid w:val="00EB1FA7"/>
    <w:rsid w:val="00EB6AE6"/>
    <w:rsid w:val="00EE46F3"/>
    <w:rsid w:val="00EF57AA"/>
    <w:rsid w:val="00F01301"/>
    <w:rsid w:val="00F43969"/>
    <w:rsid w:val="00F47B23"/>
    <w:rsid w:val="00F554A9"/>
    <w:rsid w:val="00F80823"/>
    <w:rsid w:val="00F81C15"/>
    <w:rsid w:val="00F83100"/>
    <w:rsid w:val="00F92B9E"/>
    <w:rsid w:val="00F968C5"/>
    <w:rsid w:val="00FA1887"/>
    <w:rsid w:val="00FA30A2"/>
    <w:rsid w:val="00FA4B25"/>
    <w:rsid w:val="00FA4C81"/>
    <w:rsid w:val="00FE3A4E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568</Words>
  <Characters>3238</Characters>
  <Application>Microsoft Office Word</Application>
  <DocSecurity>0</DocSecurity>
  <Lines>26</Lines>
  <Paragraphs>7</Paragraphs>
  <ScaleCrop>false</ScaleCrop>
  <Company>TURMOB</Company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196</cp:revision>
  <cp:lastPrinted>2013-08-21T14:33:00Z</cp:lastPrinted>
  <dcterms:created xsi:type="dcterms:W3CDTF">2013-06-03T05:31:00Z</dcterms:created>
  <dcterms:modified xsi:type="dcterms:W3CDTF">2013-09-05T05:27:00Z</dcterms:modified>
</cp:coreProperties>
</file>