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58349E" w:rsidRDefault="009B3511" w:rsidP="00663356">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11</w:t>
      </w:r>
      <w:r w:rsidR="004F1E1E" w:rsidRPr="0058349E">
        <w:rPr>
          <w:rFonts w:ascii="Times New Roman" w:hAnsi="Times New Roman" w:cs="Times New Roman"/>
          <w:b/>
          <w:sz w:val="20"/>
          <w:szCs w:val="20"/>
          <w:u w:val="single"/>
        </w:rPr>
        <w:t xml:space="preserve"> Eylül </w:t>
      </w:r>
      <w:proofErr w:type="spellStart"/>
      <w:r w:rsidR="004F1E1E" w:rsidRPr="0058349E">
        <w:rPr>
          <w:rFonts w:ascii="Times New Roman" w:hAnsi="Times New Roman" w:cs="Times New Roman"/>
          <w:b/>
          <w:sz w:val="20"/>
          <w:szCs w:val="20"/>
          <w:u w:val="single"/>
        </w:rPr>
        <w:t>Eylül</w:t>
      </w:r>
      <w:proofErr w:type="spellEnd"/>
      <w:r w:rsidR="00802E28" w:rsidRPr="0058349E">
        <w:rPr>
          <w:rFonts w:ascii="Times New Roman" w:hAnsi="Times New Roman" w:cs="Times New Roman"/>
          <w:b/>
          <w:sz w:val="20"/>
          <w:szCs w:val="20"/>
          <w:u w:val="single"/>
        </w:rPr>
        <w:t xml:space="preserve"> 2013,</w:t>
      </w:r>
      <w:r w:rsidR="000370C9" w:rsidRPr="0058349E">
        <w:rPr>
          <w:rFonts w:ascii="Times New Roman" w:hAnsi="Times New Roman" w:cs="Times New Roman"/>
          <w:b/>
          <w:sz w:val="20"/>
          <w:szCs w:val="20"/>
          <w:u w:val="single"/>
        </w:rPr>
        <w:t xml:space="preserve"> </w:t>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2950D7" w:rsidRPr="0058349E">
        <w:rPr>
          <w:rFonts w:ascii="Times New Roman" w:hAnsi="Times New Roman" w:cs="Times New Roman"/>
          <w:b/>
          <w:sz w:val="20"/>
          <w:szCs w:val="20"/>
          <w:u w:val="single"/>
        </w:rPr>
        <w:tab/>
      </w:r>
      <w:r w:rsidR="00BF2F3F" w:rsidRPr="0058349E">
        <w:rPr>
          <w:rFonts w:ascii="Times New Roman" w:hAnsi="Times New Roman" w:cs="Times New Roman"/>
          <w:b/>
          <w:sz w:val="20"/>
          <w:szCs w:val="20"/>
          <w:u w:val="single"/>
        </w:rPr>
        <w:tab/>
        <w:t xml:space="preserve">           </w:t>
      </w:r>
      <w:r w:rsidR="00C64C84" w:rsidRPr="0058349E">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28762</w:t>
      </w:r>
      <w:proofErr w:type="gramEnd"/>
    </w:p>
    <w:p w:rsidR="001443CC" w:rsidRDefault="001443CC" w:rsidP="00663356">
      <w:pPr>
        <w:pStyle w:val="1-Baslk"/>
        <w:spacing w:line="300" w:lineRule="atLeast"/>
        <w:ind w:firstLine="566"/>
        <w:rPr>
          <w:rFonts w:eastAsiaTheme="minorHAnsi" w:hAnsi="Times New Roman"/>
          <w:sz w:val="20"/>
          <w:u w:val="none"/>
        </w:rPr>
      </w:pPr>
    </w:p>
    <w:p w:rsidR="00100F3D" w:rsidRPr="00100F3D" w:rsidRDefault="00100F3D" w:rsidP="00100F3D">
      <w:pPr>
        <w:pStyle w:val="1-Baslk"/>
        <w:spacing w:line="240" w:lineRule="exact"/>
        <w:ind w:firstLine="566"/>
        <w:rPr>
          <w:rFonts w:hAnsi="Times New Roman"/>
          <w:b/>
          <w:sz w:val="18"/>
          <w:szCs w:val="18"/>
          <w:u w:val="none"/>
        </w:rPr>
      </w:pPr>
      <w:r w:rsidRPr="00100F3D">
        <w:rPr>
          <w:rFonts w:hAnsi="Times New Roman"/>
          <w:b/>
          <w:sz w:val="18"/>
          <w:szCs w:val="18"/>
          <w:u w:val="none"/>
        </w:rPr>
        <w:t>Başbakanlık (Hazine Müsteşarlığı) ile Maliye Bakanlığından:</w:t>
      </w:r>
    </w:p>
    <w:p w:rsidR="00100F3D" w:rsidRDefault="00100F3D" w:rsidP="00100F3D">
      <w:pPr>
        <w:pStyle w:val="1-Baslk"/>
        <w:spacing w:line="240" w:lineRule="exact"/>
        <w:ind w:firstLine="566"/>
        <w:rPr>
          <w:rFonts w:hAnsi="Times New Roman"/>
          <w:sz w:val="18"/>
          <w:szCs w:val="18"/>
        </w:rPr>
      </w:pPr>
    </w:p>
    <w:p w:rsidR="00100F3D" w:rsidRDefault="00100F3D" w:rsidP="00100F3D">
      <w:pPr>
        <w:pStyle w:val="2-OrtaBaslk"/>
        <w:spacing w:line="240" w:lineRule="exact"/>
        <w:rPr>
          <w:rFonts w:hAnsi="Times New Roman"/>
          <w:sz w:val="18"/>
          <w:szCs w:val="18"/>
        </w:rPr>
      </w:pPr>
      <w:r>
        <w:rPr>
          <w:rFonts w:hAnsi="Times New Roman"/>
          <w:sz w:val="18"/>
          <w:szCs w:val="18"/>
        </w:rPr>
        <w:t>KAMU HAZNEDARLIĞI GENEL TEBLİĞİ</w:t>
      </w:r>
    </w:p>
    <w:p w:rsidR="00100F3D" w:rsidRDefault="00100F3D" w:rsidP="00100F3D">
      <w:pPr>
        <w:pStyle w:val="3-NormalYaz"/>
        <w:spacing w:line="240" w:lineRule="exact"/>
        <w:ind w:firstLine="566"/>
        <w:rPr>
          <w:rFonts w:hAnsi="Times New Roman"/>
          <w:b/>
          <w:sz w:val="18"/>
          <w:szCs w:val="18"/>
        </w:rPr>
      </w:pPr>
      <w:r>
        <w:rPr>
          <w:rFonts w:hAnsi="Times New Roman"/>
          <w:b/>
          <w:sz w:val="18"/>
          <w:szCs w:val="18"/>
        </w:rPr>
        <w:t>Amaç</w:t>
      </w:r>
    </w:p>
    <w:p w:rsidR="00100F3D" w:rsidRDefault="00100F3D" w:rsidP="00100F3D">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kapsamda yer alan kurumların mali kaynaklarının etkin ve verimli kullanılması ve izlenebilmesini </w:t>
      </w:r>
      <w:proofErr w:type="spellStart"/>
      <w:r>
        <w:rPr>
          <w:rFonts w:hAnsi="Times New Roman"/>
          <w:sz w:val="18"/>
          <w:szCs w:val="18"/>
        </w:rPr>
        <w:t>teminen</w:t>
      </w:r>
      <w:proofErr w:type="spellEnd"/>
      <w:r>
        <w:rPr>
          <w:rFonts w:hAnsi="Times New Roman"/>
          <w:sz w:val="18"/>
          <w:szCs w:val="18"/>
        </w:rPr>
        <w:t xml:space="preserve"> Kamu Haznedarlığı uygulamasına ilişkin esas ve usulleri belirlemektir.</w:t>
      </w:r>
    </w:p>
    <w:p w:rsidR="00100F3D" w:rsidRDefault="00100F3D" w:rsidP="00100F3D">
      <w:pPr>
        <w:pStyle w:val="3-NormalYaz"/>
        <w:spacing w:line="240" w:lineRule="exact"/>
        <w:ind w:firstLine="566"/>
        <w:rPr>
          <w:rFonts w:hAnsi="Times New Roman"/>
          <w:b/>
          <w:sz w:val="18"/>
          <w:szCs w:val="18"/>
        </w:rPr>
      </w:pPr>
      <w:r>
        <w:rPr>
          <w:rFonts w:hAnsi="Times New Roman"/>
          <w:b/>
          <w:sz w:val="18"/>
          <w:szCs w:val="18"/>
        </w:rPr>
        <w:t>Kapsam</w:t>
      </w:r>
    </w:p>
    <w:p w:rsidR="00100F3D" w:rsidRDefault="00100F3D" w:rsidP="00100F3D">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Aşağıda sayılan kurumlar bu Tebliğ hükümlerine tabidir.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a) Genel bütçe kapsamındaki kamu idareleri,</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b) Özel bütçeli idareler,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c) Döner sermayeler,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ç) Fonlar,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d) Belediyeler,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e) İl özel idareleri,</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f) Sosyal güvenlik kurumları,</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g) Kamu iktisadi teşebbüsleri,</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ğ) Özel kanunla kurulmuş diğer kamu kurum, kurul, üst kurul ve kuruluşları,</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h) Bu maddede sayılanların bağlı ortaklıkları, müessese ve işletmeleri ile birlikleri,</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ı) Bu maddede sayılan kurumlarca fon, hesap, özel hesap, havuz ve benzeri adlarla açılmış olan ve/veya yönetilen her türlü banka hesabı.</w:t>
      </w:r>
    </w:p>
    <w:p w:rsidR="00100F3D" w:rsidRDefault="00100F3D" w:rsidP="00100F3D">
      <w:pPr>
        <w:pStyle w:val="3-NormalYaz"/>
        <w:spacing w:line="240" w:lineRule="exact"/>
        <w:ind w:firstLine="566"/>
        <w:rPr>
          <w:rFonts w:hAnsi="Times New Roman"/>
          <w:b/>
          <w:sz w:val="18"/>
          <w:szCs w:val="18"/>
        </w:rPr>
      </w:pPr>
      <w:r>
        <w:rPr>
          <w:rFonts w:hAnsi="Times New Roman"/>
          <w:b/>
          <w:sz w:val="18"/>
          <w:szCs w:val="18"/>
        </w:rPr>
        <w:t>Dayanak</w:t>
      </w:r>
    </w:p>
    <w:p w:rsidR="00100F3D" w:rsidRDefault="00100F3D" w:rsidP="00100F3D">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 </w:t>
      </w:r>
      <w:proofErr w:type="gramStart"/>
      <w:r>
        <w:rPr>
          <w:rFonts w:hAnsi="Times New Roman"/>
          <w:sz w:val="18"/>
          <w:szCs w:val="18"/>
        </w:rPr>
        <w:t>28/3/2002</w:t>
      </w:r>
      <w:proofErr w:type="gramEnd"/>
      <w:r>
        <w:rPr>
          <w:rFonts w:hAnsi="Times New Roman"/>
          <w:sz w:val="18"/>
          <w:szCs w:val="18"/>
        </w:rPr>
        <w:t xml:space="preserve"> tarihli ve 4749 sayılı Kamu Finansmanı ve Borç Yönetiminin Düzenlenmesi Hakkında Kanunun 12 ve 16 </w:t>
      </w:r>
      <w:proofErr w:type="spellStart"/>
      <w:r>
        <w:rPr>
          <w:rFonts w:hAnsi="Times New Roman"/>
          <w:sz w:val="18"/>
          <w:szCs w:val="18"/>
        </w:rPr>
        <w:t>ncı</w:t>
      </w:r>
      <w:proofErr w:type="spellEnd"/>
      <w:r>
        <w:rPr>
          <w:rFonts w:hAnsi="Times New Roman"/>
          <w:sz w:val="18"/>
          <w:szCs w:val="18"/>
        </w:rPr>
        <w:t xml:space="preserve"> maddelerine dayanılarak hazırlanmıştır.</w:t>
      </w:r>
    </w:p>
    <w:p w:rsidR="00100F3D" w:rsidRDefault="00100F3D" w:rsidP="00100F3D">
      <w:pPr>
        <w:pStyle w:val="3-NormalYaz"/>
        <w:spacing w:line="240" w:lineRule="exact"/>
        <w:ind w:firstLine="566"/>
        <w:rPr>
          <w:rFonts w:hAnsi="Times New Roman"/>
          <w:b/>
          <w:sz w:val="18"/>
          <w:szCs w:val="18"/>
        </w:rPr>
      </w:pPr>
      <w:r>
        <w:rPr>
          <w:rFonts w:hAnsi="Times New Roman"/>
          <w:b/>
          <w:sz w:val="18"/>
          <w:szCs w:val="18"/>
        </w:rPr>
        <w:t>Tanımlar</w:t>
      </w:r>
    </w:p>
    <w:p w:rsidR="00100F3D" w:rsidRDefault="00100F3D" w:rsidP="00100F3D">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Tebliğde geçen;</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a) DİBS: Devlet İç Borçlanma Senedini,</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b) Kamu Sermayeli Bankalar: Türkiye Cumhuriyet Merkez Bankası, T.C. Ziraat Bankası A.Ş</w:t>
      </w:r>
      <w:proofErr w:type="gramStart"/>
      <w:r>
        <w:rPr>
          <w:rFonts w:hAnsi="Times New Roman"/>
          <w:sz w:val="18"/>
          <w:szCs w:val="18"/>
        </w:rPr>
        <w:t>.,</w:t>
      </w:r>
      <w:proofErr w:type="gramEnd"/>
      <w:r>
        <w:rPr>
          <w:rFonts w:hAnsi="Times New Roman"/>
          <w:sz w:val="18"/>
          <w:szCs w:val="18"/>
        </w:rPr>
        <w:t xml:space="preserve"> T. Halk Bankası A.Ş., ve T. Vakıflar Bankası A.O.’</w:t>
      </w:r>
      <w:proofErr w:type="spellStart"/>
      <w:r>
        <w:rPr>
          <w:rFonts w:hAnsi="Times New Roman"/>
          <w:sz w:val="18"/>
          <w:szCs w:val="18"/>
        </w:rPr>
        <w:t>nı</w:t>
      </w:r>
      <w:proofErr w:type="spellEnd"/>
      <w:r>
        <w:rPr>
          <w:rFonts w:hAnsi="Times New Roman"/>
          <w:sz w:val="18"/>
          <w:szCs w:val="18"/>
        </w:rPr>
        <w:t>,</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c) Kısa vadeli kaynaklar: 30 günden kısa vadeli kaynakları,</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 xml:space="preserve">ç) Kurum: 2 </w:t>
      </w:r>
      <w:proofErr w:type="spellStart"/>
      <w:r>
        <w:rPr>
          <w:rFonts w:hAnsi="Times New Roman"/>
          <w:sz w:val="18"/>
          <w:szCs w:val="18"/>
        </w:rPr>
        <w:t>nci</w:t>
      </w:r>
      <w:proofErr w:type="spellEnd"/>
      <w:r>
        <w:rPr>
          <w:rFonts w:hAnsi="Times New Roman"/>
          <w:sz w:val="18"/>
          <w:szCs w:val="18"/>
        </w:rPr>
        <w:t xml:space="preserve"> maddede sayılanları,</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d) Müsteşarlık: Hazine Müsteşarlığını,</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e) TCMB: Türkiye Cumhuriyet Merkez Bankasını,</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f) Uzun vadeli kaynaklar: 30 gün ve daha uzun vadeli kaynakları,</w:t>
      </w:r>
    </w:p>
    <w:p w:rsidR="00100F3D" w:rsidRDefault="00100F3D" w:rsidP="00100F3D">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100F3D" w:rsidRDefault="00100F3D" w:rsidP="00100F3D">
      <w:pPr>
        <w:pStyle w:val="3-NormalYaz"/>
        <w:spacing w:line="240" w:lineRule="exact"/>
        <w:ind w:firstLine="566"/>
        <w:rPr>
          <w:rFonts w:hAnsi="Times New Roman"/>
          <w:b/>
          <w:sz w:val="18"/>
          <w:szCs w:val="18"/>
        </w:rPr>
      </w:pPr>
      <w:r>
        <w:rPr>
          <w:rFonts w:hAnsi="Times New Roman"/>
          <w:b/>
          <w:sz w:val="18"/>
          <w:szCs w:val="18"/>
        </w:rPr>
        <w:t>Uygulama ve kullanılacak araçlar</w:t>
      </w:r>
    </w:p>
    <w:p w:rsidR="00100F3D" w:rsidRDefault="00100F3D" w:rsidP="00100F3D">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Hazine Müsteşarlığı dışında kalan genel bütçe kapsamındaki kamu idareleri;</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a) Kendi bütçeleri veya tasarrufları altında bulunan her türlü mali kaynaklarını TCMB veya muhabiri olan bankada açılacak TL cinsi vadesiz hesaplarda tutmakla yükümlüdür.</w:t>
      </w:r>
    </w:p>
    <w:p w:rsidR="00100F3D" w:rsidRDefault="00100F3D" w:rsidP="00100F3D">
      <w:pPr>
        <w:pStyle w:val="3-NormalYaz"/>
        <w:spacing w:line="240" w:lineRule="exact"/>
        <w:ind w:firstLine="566"/>
        <w:rPr>
          <w:rFonts w:hAnsi="Times New Roman"/>
          <w:sz w:val="18"/>
          <w:szCs w:val="18"/>
        </w:rPr>
      </w:pPr>
      <w:proofErr w:type="gramStart"/>
      <w:r>
        <w:rPr>
          <w:rFonts w:hAnsi="Times New Roman"/>
          <w:sz w:val="18"/>
          <w:szCs w:val="18"/>
        </w:rPr>
        <w:t>b) Dış alımlar veya yurtdışından temin edilen krediler nedeni ile döviz cinsinden ödeme veya yükümlülükleri olması veya Avrupa Birliği tarafından sağlanan ve döviz cinsinden izlenmesi gereken hibe anlaşmaları ile çeşitli faaliyetler kapsamında uluslararası örgütler tarafından hesaplarına döviz cinsi aktarım yapılması durumunda sadece bu işlemlerle sınırlı olmak kaydıyla vadeli veya vadesiz döviz tevdiat hesabı açtırabilir.</w:t>
      </w:r>
      <w:proofErr w:type="gramEnd"/>
    </w:p>
    <w:p w:rsidR="00100F3D" w:rsidRDefault="00100F3D" w:rsidP="00100F3D">
      <w:pPr>
        <w:pStyle w:val="3-NormalYaz"/>
        <w:spacing w:line="240" w:lineRule="exact"/>
        <w:ind w:firstLine="566"/>
        <w:rPr>
          <w:rFonts w:hAnsi="Times New Roman"/>
          <w:sz w:val="18"/>
          <w:szCs w:val="18"/>
        </w:rPr>
      </w:pPr>
      <w:proofErr w:type="gramStart"/>
      <w:r>
        <w:rPr>
          <w:rFonts w:hAnsi="Times New Roman"/>
          <w:sz w:val="18"/>
          <w:szCs w:val="18"/>
        </w:rPr>
        <w:t>c) Genel bütçe kapsamındaki kamu idarelerince afet nedeniyle toplanan nakdi bağış ve yardımlar ile özel kanunların verdiği yetki çerçevesinde belli bir kamusal amaca özgülenmek suretiyle fon, hesap, özel hesap, havuz ve benzeri adlarla açılan ve/veya yönetilen her türlü banka hesaplarında tutulan kaynaklar bu maddenin ikinci fıkrasında sayılan esaslar çerçevesinde değerlendirilir.</w:t>
      </w:r>
      <w:proofErr w:type="gramEnd"/>
    </w:p>
    <w:p w:rsidR="00100F3D" w:rsidRDefault="00100F3D" w:rsidP="00100F3D">
      <w:pPr>
        <w:pStyle w:val="3-NormalYaz"/>
        <w:spacing w:line="240" w:lineRule="exact"/>
        <w:ind w:firstLine="566"/>
        <w:rPr>
          <w:rFonts w:hAnsi="Times New Roman"/>
          <w:sz w:val="18"/>
          <w:szCs w:val="18"/>
        </w:rPr>
      </w:pPr>
      <w:r>
        <w:rPr>
          <w:rFonts w:hAnsi="Times New Roman"/>
          <w:sz w:val="18"/>
          <w:szCs w:val="18"/>
        </w:rPr>
        <w:t>(2) Genel bütçe kapsamındaki kamu idareleri dışındaki kurumlar kendi bütçeleri veya tasarrufları altında bulunan her türlü mali kaynaklarını kamu sermayeli bankalarda açtıracakları hesaplarda aşağıdaki araçları kullanarak değerlendirmekle yükümlüdür.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a) TL cinsi vadesiz veya vadeli mevduat,</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b) Gerekli görülmesi halinde ve ihtiyaçları ölçüsünde döviz cinsi ödemeleri için vadeli veya vadesiz mevduat,</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c) İhale, doğrudan satış, ihale öncesi rekabetçi olmayan teklif ya da ikincil piyasadan doğrudan repo ya da ters repo yoluyla temin etmek suretiyle 4749 sayılı Kamu Finansmanı ve Borç Yönetiminin Düzenlenmesi Hakkında Kanun kapsamında Müsteşarlıkça ihraç edilen borçlanma senetleri veya kira sertifikaları.</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lastRenderedPageBreak/>
        <w:t xml:space="preserve">(3) </w:t>
      </w:r>
      <w:proofErr w:type="gramStart"/>
      <w:r>
        <w:rPr>
          <w:rFonts w:hAnsi="Times New Roman"/>
          <w:sz w:val="18"/>
          <w:szCs w:val="18"/>
        </w:rPr>
        <w:t>18/6/2011</w:t>
      </w:r>
      <w:proofErr w:type="gramEnd"/>
      <w:r>
        <w:rPr>
          <w:rFonts w:hAnsi="Times New Roman"/>
          <w:sz w:val="18"/>
          <w:szCs w:val="18"/>
        </w:rPr>
        <w:t xml:space="preserve"> tarihli ve 27968 sayılı Resmî Gazete’de yayımlanan Genel Bütçe Kapsamındaki Kamu İdarelerinin Ödeme ve Tahsilat İşlemlerinin Elektronik Ortamda Gerçekleştirilmesine İlişkin Usul ve Esaslardaki hükümler saklı kalmak kaydı ile Kurumlar;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 xml:space="preserve">a) Faaliyetleri kapsamında yaptıracakları </w:t>
      </w:r>
      <w:proofErr w:type="gramStart"/>
      <w:r>
        <w:rPr>
          <w:rFonts w:hAnsi="Times New Roman"/>
          <w:sz w:val="18"/>
          <w:szCs w:val="18"/>
        </w:rPr>
        <w:t>tahsilat</w:t>
      </w:r>
      <w:proofErr w:type="gramEnd"/>
      <w:r>
        <w:rPr>
          <w:rFonts w:hAnsi="Times New Roman"/>
          <w:sz w:val="18"/>
          <w:szCs w:val="18"/>
        </w:rPr>
        <w:t xml:space="preserve"> ve ödeme işlemleri için yurtiçinde yerleşik diğer bankaları ve Posta ve Telgraf Teşkilatı A.Ş.’</w:t>
      </w:r>
      <w:proofErr w:type="spellStart"/>
      <w:r>
        <w:rPr>
          <w:rFonts w:hAnsi="Times New Roman"/>
          <w:sz w:val="18"/>
          <w:szCs w:val="18"/>
        </w:rPr>
        <w:t>yi</w:t>
      </w:r>
      <w:proofErr w:type="spellEnd"/>
      <w:r>
        <w:rPr>
          <w:rFonts w:hAnsi="Times New Roman"/>
          <w:sz w:val="18"/>
          <w:szCs w:val="18"/>
        </w:rPr>
        <w:t xml:space="preserve"> de kullanabilir. Gerçekleştirilen </w:t>
      </w:r>
      <w:proofErr w:type="gramStart"/>
      <w:r>
        <w:rPr>
          <w:rFonts w:hAnsi="Times New Roman"/>
          <w:sz w:val="18"/>
          <w:szCs w:val="18"/>
        </w:rPr>
        <w:t>tahsilat</w:t>
      </w:r>
      <w:proofErr w:type="gramEnd"/>
      <w:r>
        <w:rPr>
          <w:rFonts w:hAnsi="Times New Roman"/>
          <w:sz w:val="18"/>
          <w:szCs w:val="18"/>
        </w:rPr>
        <w:t xml:space="preserve"> tutarlarının, özel kanunların verdiği yetki kapsamında yapılan düzenlemelerde yer alan hükümler saklı kalmak kaydı ile takip eden işgünü içinde ilgili kurumun kamu sermayeli bankadaki hesabına aktarılması zorunludur.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b) Bu maddenin ikinci fıkrasının (c) bendinde sayılan işlemleri, yurtiçinde yerleşik diğer bankalar aracılığı ile de yapabilir.</w:t>
      </w:r>
    </w:p>
    <w:p w:rsidR="00100F3D" w:rsidRDefault="00100F3D" w:rsidP="00100F3D">
      <w:pPr>
        <w:pStyle w:val="3-NormalYaz"/>
        <w:spacing w:line="240" w:lineRule="exact"/>
        <w:ind w:firstLine="566"/>
        <w:rPr>
          <w:rFonts w:hAnsi="Times New Roman"/>
          <w:b/>
          <w:sz w:val="18"/>
          <w:szCs w:val="18"/>
        </w:rPr>
      </w:pPr>
      <w:r>
        <w:rPr>
          <w:rFonts w:hAnsi="Times New Roman"/>
          <w:b/>
          <w:sz w:val="18"/>
          <w:szCs w:val="18"/>
        </w:rPr>
        <w:t>Kaynakların değerlendirilmesi ve nemalandırma</w:t>
      </w:r>
    </w:p>
    <w:p w:rsidR="00100F3D" w:rsidRDefault="00100F3D" w:rsidP="00100F3D">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 xml:space="preserve">(1) Kurumlar kısa vadeli kaynaklarını, vadesiz veya vadeli mevduat ile repo/ters repo araçlarını kullanarak değerlendirir. Kısa vadeli kaynaklar için uygulanacak vadeli mevduat faiz oranı </w:t>
      </w:r>
      <w:proofErr w:type="spellStart"/>
      <w:r>
        <w:rPr>
          <w:rFonts w:hAnsi="Times New Roman"/>
          <w:sz w:val="18"/>
          <w:szCs w:val="18"/>
        </w:rPr>
        <w:t>TCMB’nin</w:t>
      </w:r>
      <w:proofErr w:type="spellEnd"/>
      <w:r>
        <w:rPr>
          <w:rFonts w:hAnsi="Times New Roman"/>
          <w:sz w:val="18"/>
          <w:szCs w:val="18"/>
        </w:rPr>
        <w:t xml:space="preserve"> politika faiz oranı olarak ilan ettiği 1 hafta vadeli repo/ters repo ihale faiz oranından düşük olamaz.</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(2) Kurumlar uzun vadeli kaynaklarını, vadeli mevduat ve 5 inci maddenin ikinci fıkrasının (c) bendindeki araçları kullanarak değerlendirir. Vadeli mevduat faiz oranı piyasada oluşan benzer vadedeki DİBS faiz oranından daha düşük olamaz. Vadeli mevduat faiz oranına ilişkin gösterge faiz oranının hesaplama formülü ektedir (Ek 1).</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(3) Bu maddenin ikinci fıkrasında belirtilen vadeli mevduat faiz oranının piyasada oluşan benzer vadedeki DİBS faiz oranından düşük olması halinde mali kaynaklar, 5 inci maddenin ikinci fıkrasının (c) bendi kapsamında değerlendirilebilir.</w:t>
      </w:r>
    </w:p>
    <w:p w:rsidR="00100F3D" w:rsidRDefault="00100F3D" w:rsidP="00100F3D">
      <w:pPr>
        <w:pStyle w:val="3-NormalYaz"/>
        <w:spacing w:line="240" w:lineRule="exact"/>
        <w:ind w:firstLine="566"/>
        <w:rPr>
          <w:rFonts w:hAnsi="Times New Roman"/>
          <w:b/>
          <w:sz w:val="18"/>
          <w:szCs w:val="18"/>
        </w:rPr>
      </w:pPr>
      <w:r>
        <w:rPr>
          <w:rFonts w:hAnsi="Times New Roman"/>
          <w:b/>
          <w:sz w:val="18"/>
          <w:szCs w:val="18"/>
        </w:rPr>
        <w:t>Diğer menfaatler</w:t>
      </w:r>
    </w:p>
    <w:p w:rsidR="00100F3D" w:rsidRDefault="00100F3D" w:rsidP="00100F3D">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Kurumlar mali kaynaklarının değerlendirilmesinde faiz veya kâr payı dışında ayni ya da nakdi herhangi bir menfaat temin edemez.</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 xml:space="preserve">(2) Kurumların aylık ve ücret ödemeleri ile faaliyetleri kapsamında bankalara yaptırdıkları tahsilat ve ödeme işlemlerine ilişkin olarak sağladıkları havale, elektronik fon transferi (EFT), para transferi ve benzeri bankacılık hizmetleri için yapılan protokoller kapsamında ortaya çıkan ücret ve hizmet bedellerinin bankalar veya Posta ve </w:t>
      </w:r>
      <w:proofErr w:type="gramStart"/>
      <w:r>
        <w:rPr>
          <w:rFonts w:hAnsi="Times New Roman"/>
          <w:sz w:val="18"/>
          <w:szCs w:val="18"/>
        </w:rPr>
        <w:t>Telgraf  Teşkilatı</w:t>
      </w:r>
      <w:proofErr w:type="gramEnd"/>
      <w:r>
        <w:rPr>
          <w:rFonts w:hAnsi="Times New Roman"/>
          <w:sz w:val="18"/>
          <w:szCs w:val="18"/>
        </w:rPr>
        <w:t xml:space="preserve"> A.Ş. tarafından üstlenilmesi birinci fıkra kapsamında değerlendirilmez.</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(3) Bu Tebliğin yürürlük tarihinden önce yapılmış olan protokoller sürelerinin bitimine kadar uygulanmaya devam olunur.</w:t>
      </w:r>
    </w:p>
    <w:p w:rsidR="00100F3D" w:rsidRDefault="00100F3D" w:rsidP="00100F3D">
      <w:pPr>
        <w:pStyle w:val="3-NormalYaz"/>
        <w:spacing w:line="240" w:lineRule="exact"/>
        <w:ind w:firstLine="566"/>
        <w:rPr>
          <w:rFonts w:hAnsi="Times New Roman"/>
          <w:b/>
          <w:sz w:val="18"/>
          <w:szCs w:val="18"/>
        </w:rPr>
      </w:pPr>
      <w:r>
        <w:rPr>
          <w:rFonts w:hAnsi="Times New Roman"/>
          <w:b/>
          <w:sz w:val="18"/>
          <w:szCs w:val="18"/>
        </w:rPr>
        <w:t>Bildirim ve raporlama</w:t>
      </w:r>
    </w:p>
    <w:p w:rsidR="00100F3D" w:rsidRDefault="00100F3D" w:rsidP="00100F3D">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4749 sayılı Kanunun 14 üncü maddesinin dördüncü fıkrası gereğince;</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 xml:space="preserve">a) Kurumların mali hizmetlerini yürüten birimleri, merkez ve varsa taşra birimlerine ait vergi kimlik numaralarına ilişkin her türlü değişikliği en geç 5 iş günü içerisinde, ayrıca bankalarca Müsteşarlığa iletilen hesap bilgilerinin mutabakatını </w:t>
      </w:r>
      <w:proofErr w:type="spellStart"/>
      <w:r>
        <w:rPr>
          <w:rFonts w:hAnsi="Times New Roman"/>
          <w:sz w:val="18"/>
          <w:szCs w:val="18"/>
        </w:rPr>
        <w:t>teminen</w:t>
      </w:r>
      <w:proofErr w:type="spellEnd"/>
      <w:r>
        <w:rPr>
          <w:rFonts w:hAnsi="Times New Roman"/>
          <w:sz w:val="18"/>
          <w:szCs w:val="18"/>
        </w:rPr>
        <w:t>, içerik ve süresi Müsteşarlıkça belirlenerek talep edilen bilgileri de istenen süre içerisinde Müsteşarlığa göndermekle yükümlüdür.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 xml:space="preserve">b) Bankalar, kurumların kendileri </w:t>
      </w:r>
      <w:proofErr w:type="spellStart"/>
      <w:r>
        <w:rPr>
          <w:rFonts w:hAnsi="Times New Roman"/>
          <w:sz w:val="18"/>
          <w:szCs w:val="18"/>
        </w:rPr>
        <w:t>nezdindeki</w:t>
      </w:r>
      <w:proofErr w:type="spellEnd"/>
      <w:r>
        <w:rPr>
          <w:rFonts w:hAnsi="Times New Roman"/>
          <w:sz w:val="18"/>
          <w:szCs w:val="18"/>
        </w:rPr>
        <w:t xml:space="preserve"> mali kaynakları ile kullandıkları kredi ve benzeri yükümlülükleri hakkındaki bilgileri, içerik ve süresi Müsteşarlıkça belirlenen şekilde hazırlamak ve Müsteşarlığa göndermekle yükümlüdür.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(2) Kamu Haznedarlığı uygulaması çerçevesinde Müsteşarlıkça izlenen ve ticari sır niteliğini haiz olan bilgiler kurumların bağlı, ilgili veya ilişkili oldukları bakanlıklar, adli merciler ve denetim mercileri tarafından gerekli olduğu hallerde Müsteşarlıktan gerekçesi ile birlikte yazılı olarak talep edilebilir. Bu taleplerden karşılanması uygun görülenler gizli kaydıyla yazılı olarak cevaplanır.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(3) Tebliğ kapsamındaki kurumlardan hali hazırda teşkilatlanma süreci devam edenler ile Tebliğin yürürlüğe girdiği tarihten sonra kurulacak olanlar için 8, 9 ve 10 uncu maddelerin yürürlük tarihi bu kurumların mali hizmetler görevlerini yürüten birimlerinin ihdas edildiği tarihten itibaren 15 iş günüdür.</w:t>
      </w:r>
    </w:p>
    <w:p w:rsidR="00100F3D" w:rsidRDefault="00100F3D" w:rsidP="00100F3D">
      <w:pPr>
        <w:pStyle w:val="3-NormalYaz"/>
        <w:spacing w:line="240" w:lineRule="exact"/>
        <w:ind w:firstLine="566"/>
        <w:rPr>
          <w:rFonts w:hAnsi="Times New Roman"/>
          <w:b/>
          <w:sz w:val="18"/>
          <w:szCs w:val="18"/>
        </w:rPr>
      </w:pPr>
      <w:r>
        <w:rPr>
          <w:rFonts w:hAnsi="Times New Roman"/>
          <w:b/>
          <w:sz w:val="18"/>
          <w:szCs w:val="18"/>
        </w:rPr>
        <w:t>Sorumluluk</w:t>
      </w:r>
    </w:p>
    <w:p w:rsidR="00100F3D" w:rsidRDefault="00100F3D" w:rsidP="00100F3D">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Bu Tebliğ kapsamında yer alan kurum yetkilileri ve muhasebe yetkilileri bu Tebliğ hükümlerini yerine getirmekle yükümlü olup Tebliğ hükümlerine aykırılık sebebi ile ortaya çıkabilecek zararlardan şahsen ve </w:t>
      </w:r>
      <w:proofErr w:type="spellStart"/>
      <w:r>
        <w:rPr>
          <w:rFonts w:hAnsi="Times New Roman"/>
          <w:sz w:val="18"/>
          <w:szCs w:val="18"/>
        </w:rPr>
        <w:t>müteselsilen</w:t>
      </w:r>
      <w:proofErr w:type="spellEnd"/>
      <w:r>
        <w:rPr>
          <w:rFonts w:hAnsi="Times New Roman"/>
          <w:sz w:val="18"/>
          <w:szCs w:val="18"/>
        </w:rPr>
        <w:t xml:space="preserve"> sorumludur.</w:t>
      </w:r>
    </w:p>
    <w:p w:rsidR="00100F3D" w:rsidRDefault="00100F3D" w:rsidP="00100F3D">
      <w:pPr>
        <w:pStyle w:val="3-NormalYaz"/>
        <w:spacing w:line="240" w:lineRule="exact"/>
        <w:ind w:firstLine="566"/>
        <w:rPr>
          <w:rFonts w:hAnsi="Times New Roman"/>
          <w:b/>
          <w:sz w:val="18"/>
          <w:szCs w:val="18"/>
        </w:rPr>
      </w:pPr>
      <w:r>
        <w:rPr>
          <w:rFonts w:hAnsi="Times New Roman"/>
          <w:b/>
          <w:sz w:val="18"/>
          <w:szCs w:val="18"/>
        </w:rPr>
        <w:t>Yaptırım</w:t>
      </w:r>
    </w:p>
    <w:p w:rsidR="00100F3D" w:rsidRDefault="00100F3D" w:rsidP="00100F3D">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Kamu kaynaklarının bu Tebliğ hükümlerine aykırı şekilde değerlendirilmesinden elde edildiği tespit edilen nemalar genel bütçeye gelir kaydedilir.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(2) Müsteşarlık tarafından bu Tebliğin 8 inci maddesinin birinci fıkrasının (b) bendi kapsamında istenen bilgilerin belirlenen usul ve esaslar çerçevesinde gönderilmemesi halinde 4749 sayılı Kanunun 14/A maddesinin (ı) bendi uyarınca idari para cezası uygulanır.</w:t>
      </w:r>
    </w:p>
    <w:p w:rsidR="00100F3D" w:rsidRDefault="00100F3D" w:rsidP="00100F3D">
      <w:pPr>
        <w:pStyle w:val="3-NormalYaz"/>
        <w:spacing w:line="240" w:lineRule="exact"/>
        <w:ind w:firstLine="566"/>
        <w:rPr>
          <w:rFonts w:hAnsi="Times New Roman"/>
          <w:b/>
          <w:sz w:val="18"/>
          <w:szCs w:val="18"/>
        </w:rPr>
      </w:pPr>
      <w:r>
        <w:rPr>
          <w:rFonts w:hAnsi="Times New Roman"/>
          <w:b/>
          <w:sz w:val="18"/>
          <w:szCs w:val="18"/>
        </w:rPr>
        <w:t>İstisnalar ve muafiyetler</w:t>
      </w:r>
    </w:p>
    <w:p w:rsidR="00100F3D" w:rsidRDefault="00100F3D" w:rsidP="00100F3D">
      <w:pPr>
        <w:pStyle w:val="3-NormalYaz"/>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(1) Aşağıda sayılan kurumlar ile hesaplar Tebliğ kapsamı dışındadır: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a) Kamu sermayeli bankalar,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b) Vakıflar,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c) Özel kanunla kurulmuş kamu kurumu niteliğindeki meslek kuruluşları ve bunların üst kuruluşları,</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ç) Kefalet ve yardımlaşma sandıkları,</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lastRenderedPageBreak/>
        <w:t>d) Dernekler,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e) Federasyonlar,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f) Muhtarlıklar,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g) Kurumların eğitim ve dinlenme tesisi, misafirhane, yemekhane, kreş, çocuk bakımevi, spor tesisi ve benzeri sosyal ve destek amaçlı tesislerinden yararlanan personelinden alınan yemek, konaklama ve diğer hizmet bedellerinin bulundurulduğu ve söz konusu tesislerin nam ve hesabına açılmış olan banka hesapları,</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ğ) Yılı bütçeleri ile tahsis edilen örtülü ödenekler ile ilgili olarak açtırılan banka hesapları,</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h) Bulundukları ülkenin bankacılık sektörü veya kambiyo mevzuatından kaynaklanan sorunlar nedeniyle kurumların yurt dışı temsilciliklerince yurt içinde kendi nam ve hesaplarına açtırdıkları banka hesapları,</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ı) Kurumların yurt dışı temsilciliklerine ait olan ve yurt dışında yerleşik bankalar nezdinde açılan hesaplar.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(2) Bu maddenin birinci fıkrasının (g), (ğ) ve (h) bentleri kapsamındaki hesaplar için kurum vergi kimlik numarasından ayrı bir vergi kimlik numarası kullanılır. Vergi kimlik numaralarının temin edildiği tarihten itibaren 30 iş günü içerisinde Müsteşarlığa bildirilmesi zorunludur.</w:t>
      </w:r>
    </w:p>
    <w:p w:rsidR="00100F3D" w:rsidRDefault="00100F3D" w:rsidP="00100F3D">
      <w:pPr>
        <w:pStyle w:val="3-NormalYaz"/>
        <w:spacing w:line="240" w:lineRule="exact"/>
        <w:ind w:firstLine="566"/>
        <w:rPr>
          <w:rFonts w:hAnsi="Times New Roman"/>
          <w:b/>
          <w:sz w:val="18"/>
          <w:szCs w:val="18"/>
        </w:rPr>
      </w:pPr>
      <w:r>
        <w:rPr>
          <w:rFonts w:hAnsi="Times New Roman"/>
          <w:b/>
          <w:sz w:val="18"/>
          <w:szCs w:val="18"/>
        </w:rPr>
        <w:t>Diğer hususlar</w:t>
      </w:r>
    </w:p>
    <w:p w:rsidR="00100F3D" w:rsidRDefault="00100F3D" w:rsidP="00100F3D">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w:t>
      </w:r>
      <w:proofErr w:type="gramStart"/>
      <w:r>
        <w:rPr>
          <w:rFonts w:hAnsi="Times New Roman"/>
          <w:sz w:val="18"/>
          <w:szCs w:val="18"/>
        </w:rPr>
        <w:t>7/5/2012</w:t>
      </w:r>
      <w:proofErr w:type="gramEnd"/>
      <w:r>
        <w:rPr>
          <w:rFonts w:hAnsi="Times New Roman"/>
          <w:sz w:val="18"/>
          <w:szCs w:val="18"/>
        </w:rPr>
        <w:t xml:space="preserve"> tarihli ve 28285 sayılı Resmî Gazete’de yayımlanan Kamu Haznedarlığı Genel Tebliği yürürlükten kaldırılmıştır.</w:t>
      </w:r>
    </w:p>
    <w:p w:rsidR="00100F3D" w:rsidRDefault="00100F3D" w:rsidP="00100F3D">
      <w:pPr>
        <w:pStyle w:val="3-NormalYaz"/>
        <w:spacing w:line="240" w:lineRule="exact"/>
        <w:ind w:firstLine="566"/>
        <w:rPr>
          <w:rFonts w:hAnsi="Times New Roman"/>
          <w:sz w:val="18"/>
          <w:szCs w:val="18"/>
        </w:rPr>
      </w:pPr>
      <w:r>
        <w:rPr>
          <w:rFonts w:hAnsi="Times New Roman"/>
          <w:sz w:val="18"/>
          <w:szCs w:val="18"/>
        </w:rPr>
        <w:t>(2) Kurumlar bankalarla yapacakları protokollerde bu Tebliğ hükümlerine uygun düzenlemeler yapmakla yükümlüdür.</w:t>
      </w:r>
    </w:p>
    <w:p w:rsidR="00100F3D" w:rsidRDefault="00100F3D" w:rsidP="00100F3D">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Tebliğin yürürlük tarihinden önce, 5 inci maddenin üçüncü fıkrasının (a) bendi kapsamında yapılmış olan protokoller sürelerinin bitimine kadar uygulanmaya devam olunur. Söz konusu protokollerin yenilenecek olması halinde bitiminden itibaren bir ay içerisinde bankalarla kurumlar arasındaki teknik altyapı tamamlanır. Bu bir aylık süre içinde </w:t>
      </w:r>
      <w:proofErr w:type="gramStart"/>
      <w:r>
        <w:rPr>
          <w:rFonts w:hAnsi="Times New Roman"/>
          <w:sz w:val="18"/>
          <w:szCs w:val="18"/>
        </w:rPr>
        <w:t>tahsilat</w:t>
      </w:r>
      <w:proofErr w:type="gramEnd"/>
      <w:r>
        <w:rPr>
          <w:rFonts w:hAnsi="Times New Roman"/>
          <w:sz w:val="18"/>
          <w:szCs w:val="18"/>
        </w:rPr>
        <w:t xml:space="preserve"> tutarlarının aktarımına ilişkin süre 2 işgünü olarak uygulanmaya devam olunur.</w:t>
      </w:r>
    </w:p>
    <w:p w:rsidR="00100F3D" w:rsidRDefault="00100F3D" w:rsidP="00100F3D">
      <w:pPr>
        <w:pStyle w:val="3-NormalYaz"/>
        <w:spacing w:line="240" w:lineRule="exact"/>
        <w:ind w:firstLine="566"/>
        <w:rPr>
          <w:rFonts w:hAnsi="Times New Roman"/>
          <w:b/>
          <w:sz w:val="18"/>
          <w:szCs w:val="18"/>
        </w:rPr>
      </w:pPr>
      <w:r>
        <w:rPr>
          <w:rFonts w:hAnsi="Times New Roman"/>
          <w:b/>
          <w:sz w:val="18"/>
          <w:szCs w:val="18"/>
        </w:rPr>
        <w:t>Yürürlük</w:t>
      </w:r>
    </w:p>
    <w:p w:rsidR="00100F3D" w:rsidRDefault="00100F3D" w:rsidP="00100F3D">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Bu Tebliğ yayımı tarihinde yürürlüğe girer.</w:t>
      </w:r>
    </w:p>
    <w:p w:rsidR="00100F3D" w:rsidRDefault="00100F3D" w:rsidP="00100F3D">
      <w:pPr>
        <w:pStyle w:val="3-NormalYaz"/>
        <w:spacing w:line="240" w:lineRule="exact"/>
        <w:ind w:firstLine="566"/>
        <w:rPr>
          <w:rFonts w:hAnsi="Times New Roman"/>
          <w:b/>
          <w:sz w:val="18"/>
          <w:szCs w:val="18"/>
        </w:rPr>
      </w:pPr>
      <w:r>
        <w:rPr>
          <w:rFonts w:hAnsi="Times New Roman"/>
          <w:b/>
          <w:sz w:val="18"/>
          <w:szCs w:val="18"/>
        </w:rPr>
        <w:t>Yürütme</w:t>
      </w:r>
    </w:p>
    <w:p w:rsidR="00100F3D" w:rsidRDefault="00100F3D" w:rsidP="00100F3D">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(1) Bu Tebliğ hükümlerini Hazine Müsteşarlığının bağlı bulunduğu Bakan ve Maliye Bakanı birlikte yürütür.</w:t>
      </w:r>
    </w:p>
    <w:p w:rsidR="00100F3D" w:rsidRDefault="00100F3D" w:rsidP="00100F3D">
      <w:pPr>
        <w:pStyle w:val="3-NormalYaz"/>
        <w:spacing w:line="240" w:lineRule="exact"/>
        <w:jc w:val="center"/>
        <w:rPr>
          <w:rFonts w:hAnsi="Times New Roman"/>
          <w:sz w:val="18"/>
          <w:szCs w:val="18"/>
        </w:rPr>
      </w:pPr>
    </w:p>
    <w:p w:rsidR="00100F3D" w:rsidRDefault="00100F3D" w:rsidP="00100F3D">
      <w:pPr>
        <w:pStyle w:val="3-NormalYaz"/>
        <w:spacing w:line="240" w:lineRule="exact"/>
        <w:jc w:val="center"/>
        <w:rPr>
          <w:rFonts w:hAnsi="Times New Roman"/>
          <w:sz w:val="18"/>
          <w:szCs w:val="18"/>
        </w:rPr>
      </w:pPr>
    </w:p>
    <w:p w:rsidR="00100F3D" w:rsidRDefault="00100F3D" w:rsidP="00100F3D">
      <w:pPr>
        <w:pStyle w:val="3-NormalYaz"/>
        <w:spacing w:line="240" w:lineRule="exact"/>
        <w:jc w:val="left"/>
        <w:rPr>
          <w:rFonts w:hAnsi="Times New Roman"/>
          <w:b/>
          <w:bCs/>
          <w:sz w:val="18"/>
          <w:szCs w:val="18"/>
        </w:rPr>
      </w:pPr>
      <w:hyperlink r:id="rId7" w:history="1">
        <w:r>
          <w:rPr>
            <w:rStyle w:val="Kpr"/>
            <w:rFonts w:hAnsi="Times New Roman"/>
            <w:b/>
            <w:bCs/>
            <w:sz w:val="18"/>
            <w:szCs w:val="18"/>
          </w:rPr>
          <w:t>Eki için tıklayınız.</w:t>
        </w:r>
      </w:hyperlink>
    </w:p>
    <w:p w:rsidR="00100F3D" w:rsidRDefault="00100F3D" w:rsidP="00663356">
      <w:pPr>
        <w:pStyle w:val="1-Baslk"/>
        <w:spacing w:line="300" w:lineRule="atLeast"/>
        <w:ind w:firstLine="566"/>
        <w:rPr>
          <w:rFonts w:eastAsiaTheme="minorHAnsi" w:hAnsi="Times New Roman"/>
          <w:sz w:val="20"/>
          <w:u w:val="none"/>
        </w:rPr>
      </w:pPr>
    </w:p>
    <w:sectPr w:rsidR="00100F3D"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0E5" w:rsidRDefault="000770E5" w:rsidP="00CE6B7C">
      <w:pPr>
        <w:spacing w:after="0" w:line="240" w:lineRule="auto"/>
      </w:pPr>
      <w:r>
        <w:separator/>
      </w:r>
    </w:p>
  </w:endnote>
  <w:endnote w:type="continuationSeparator" w:id="0">
    <w:p w:rsidR="000770E5" w:rsidRDefault="000770E5"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320C3">
        <w:pPr>
          <w:pStyle w:val="Altbilgi"/>
          <w:jc w:val="center"/>
        </w:pPr>
        <w:fldSimple w:instr=" PAGE   \* MERGEFORMAT ">
          <w:r w:rsidR="00100F3D">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0E5" w:rsidRDefault="000770E5" w:rsidP="00CE6B7C">
      <w:pPr>
        <w:spacing w:after="0" w:line="240" w:lineRule="auto"/>
      </w:pPr>
      <w:r>
        <w:separator/>
      </w:r>
    </w:p>
  </w:footnote>
  <w:footnote w:type="continuationSeparator" w:id="0">
    <w:p w:rsidR="000770E5" w:rsidRDefault="000770E5"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13F60"/>
    <w:rsid w:val="0001626C"/>
    <w:rsid w:val="000370C9"/>
    <w:rsid w:val="00057EFB"/>
    <w:rsid w:val="00067394"/>
    <w:rsid w:val="00073B7C"/>
    <w:rsid w:val="000770E5"/>
    <w:rsid w:val="0008602A"/>
    <w:rsid w:val="0009553A"/>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61128"/>
    <w:rsid w:val="00187B66"/>
    <w:rsid w:val="001917EB"/>
    <w:rsid w:val="00193767"/>
    <w:rsid w:val="0019505A"/>
    <w:rsid w:val="00195C8D"/>
    <w:rsid w:val="0019652E"/>
    <w:rsid w:val="001A5990"/>
    <w:rsid w:val="001B1871"/>
    <w:rsid w:val="001B789E"/>
    <w:rsid w:val="001E375F"/>
    <w:rsid w:val="001F76B8"/>
    <w:rsid w:val="00211F4F"/>
    <w:rsid w:val="002141DF"/>
    <w:rsid w:val="0022592F"/>
    <w:rsid w:val="00231ECE"/>
    <w:rsid w:val="002411CD"/>
    <w:rsid w:val="00241612"/>
    <w:rsid w:val="00272AE6"/>
    <w:rsid w:val="00273004"/>
    <w:rsid w:val="00277E3F"/>
    <w:rsid w:val="002800AB"/>
    <w:rsid w:val="00280E2B"/>
    <w:rsid w:val="002950D7"/>
    <w:rsid w:val="00296147"/>
    <w:rsid w:val="002C3A77"/>
    <w:rsid w:val="002E5D32"/>
    <w:rsid w:val="003008ED"/>
    <w:rsid w:val="0031216B"/>
    <w:rsid w:val="0033048D"/>
    <w:rsid w:val="003320DC"/>
    <w:rsid w:val="00332167"/>
    <w:rsid w:val="003364E7"/>
    <w:rsid w:val="00347531"/>
    <w:rsid w:val="0036137D"/>
    <w:rsid w:val="00361C6C"/>
    <w:rsid w:val="003670F6"/>
    <w:rsid w:val="00384FF4"/>
    <w:rsid w:val="003B147D"/>
    <w:rsid w:val="003E36BC"/>
    <w:rsid w:val="003F0A2F"/>
    <w:rsid w:val="003F0E00"/>
    <w:rsid w:val="00404668"/>
    <w:rsid w:val="00411676"/>
    <w:rsid w:val="004155DE"/>
    <w:rsid w:val="00424075"/>
    <w:rsid w:val="00424401"/>
    <w:rsid w:val="00446947"/>
    <w:rsid w:val="00471908"/>
    <w:rsid w:val="00471995"/>
    <w:rsid w:val="00472BF0"/>
    <w:rsid w:val="00482506"/>
    <w:rsid w:val="004A47BB"/>
    <w:rsid w:val="004B34FD"/>
    <w:rsid w:val="004B600A"/>
    <w:rsid w:val="004C49B1"/>
    <w:rsid w:val="004C5729"/>
    <w:rsid w:val="004C64B0"/>
    <w:rsid w:val="004D0380"/>
    <w:rsid w:val="004D1A8C"/>
    <w:rsid w:val="004E2415"/>
    <w:rsid w:val="004E3D3E"/>
    <w:rsid w:val="004F1E1E"/>
    <w:rsid w:val="00500FD6"/>
    <w:rsid w:val="00516E98"/>
    <w:rsid w:val="00524D36"/>
    <w:rsid w:val="00527A1F"/>
    <w:rsid w:val="00546D35"/>
    <w:rsid w:val="005605A2"/>
    <w:rsid w:val="005727E1"/>
    <w:rsid w:val="0058349E"/>
    <w:rsid w:val="005A426C"/>
    <w:rsid w:val="005B27B7"/>
    <w:rsid w:val="005B44D8"/>
    <w:rsid w:val="005C4142"/>
    <w:rsid w:val="005C5A15"/>
    <w:rsid w:val="005F5004"/>
    <w:rsid w:val="0060269A"/>
    <w:rsid w:val="006179B6"/>
    <w:rsid w:val="00622266"/>
    <w:rsid w:val="00623B9F"/>
    <w:rsid w:val="00627628"/>
    <w:rsid w:val="00630C78"/>
    <w:rsid w:val="006312D4"/>
    <w:rsid w:val="006332A4"/>
    <w:rsid w:val="0064293F"/>
    <w:rsid w:val="00654433"/>
    <w:rsid w:val="00656E8E"/>
    <w:rsid w:val="00663356"/>
    <w:rsid w:val="00667BFC"/>
    <w:rsid w:val="00672F9D"/>
    <w:rsid w:val="006B04AF"/>
    <w:rsid w:val="006C0014"/>
    <w:rsid w:val="006C00B8"/>
    <w:rsid w:val="006C09BF"/>
    <w:rsid w:val="007059A2"/>
    <w:rsid w:val="007114EF"/>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4F0A"/>
    <w:rsid w:val="007E5254"/>
    <w:rsid w:val="007F73A7"/>
    <w:rsid w:val="00802E28"/>
    <w:rsid w:val="008320C3"/>
    <w:rsid w:val="008332C5"/>
    <w:rsid w:val="00837276"/>
    <w:rsid w:val="00843669"/>
    <w:rsid w:val="00846A18"/>
    <w:rsid w:val="0085186D"/>
    <w:rsid w:val="008527AB"/>
    <w:rsid w:val="00853F74"/>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26644"/>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B87"/>
    <w:rsid w:val="009D64C8"/>
    <w:rsid w:val="009F160C"/>
    <w:rsid w:val="00A02020"/>
    <w:rsid w:val="00A0296A"/>
    <w:rsid w:val="00A10B71"/>
    <w:rsid w:val="00A35196"/>
    <w:rsid w:val="00A379EB"/>
    <w:rsid w:val="00A47322"/>
    <w:rsid w:val="00A54D74"/>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6449C"/>
    <w:rsid w:val="00B65BBB"/>
    <w:rsid w:val="00B713A8"/>
    <w:rsid w:val="00B83A47"/>
    <w:rsid w:val="00B86BFF"/>
    <w:rsid w:val="00B9274C"/>
    <w:rsid w:val="00BA2DE9"/>
    <w:rsid w:val="00BA3089"/>
    <w:rsid w:val="00BC1244"/>
    <w:rsid w:val="00BC1C79"/>
    <w:rsid w:val="00BD1E1C"/>
    <w:rsid w:val="00BD61D6"/>
    <w:rsid w:val="00BF2F3F"/>
    <w:rsid w:val="00BF4EA9"/>
    <w:rsid w:val="00C05E0B"/>
    <w:rsid w:val="00C0738B"/>
    <w:rsid w:val="00C107EE"/>
    <w:rsid w:val="00C17F93"/>
    <w:rsid w:val="00C2055D"/>
    <w:rsid w:val="00C23AB6"/>
    <w:rsid w:val="00C3409B"/>
    <w:rsid w:val="00C44A38"/>
    <w:rsid w:val="00C62ADE"/>
    <w:rsid w:val="00C64C84"/>
    <w:rsid w:val="00C67988"/>
    <w:rsid w:val="00C67A24"/>
    <w:rsid w:val="00C74A44"/>
    <w:rsid w:val="00C82345"/>
    <w:rsid w:val="00C86466"/>
    <w:rsid w:val="00C9401D"/>
    <w:rsid w:val="00C94610"/>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930A9"/>
    <w:rsid w:val="00D9489C"/>
    <w:rsid w:val="00DA5C28"/>
    <w:rsid w:val="00DB4B0E"/>
    <w:rsid w:val="00DD7D93"/>
    <w:rsid w:val="00DF3052"/>
    <w:rsid w:val="00DF39BC"/>
    <w:rsid w:val="00E00282"/>
    <w:rsid w:val="00E23160"/>
    <w:rsid w:val="00E23ADD"/>
    <w:rsid w:val="00E27D06"/>
    <w:rsid w:val="00E306F9"/>
    <w:rsid w:val="00E312B5"/>
    <w:rsid w:val="00E3660E"/>
    <w:rsid w:val="00E43E56"/>
    <w:rsid w:val="00E628B5"/>
    <w:rsid w:val="00E72AC9"/>
    <w:rsid w:val="00E74904"/>
    <w:rsid w:val="00E96B82"/>
    <w:rsid w:val="00EA652E"/>
    <w:rsid w:val="00EB1FA7"/>
    <w:rsid w:val="00EB6AE6"/>
    <w:rsid w:val="00EE20EB"/>
    <w:rsid w:val="00EE46F3"/>
    <w:rsid w:val="00EF57AA"/>
    <w:rsid w:val="00F01301"/>
    <w:rsid w:val="00F07175"/>
    <w:rsid w:val="00F43969"/>
    <w:rsid w:val="00F47B23"/>
    <w:rsid w:val="00F554A9"/>
    <w:rsid w:val="00F80823"/>
    <w:rsid w:val="00F81C15"/>
    <w:rsid w:val="00F83100"/>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9/20130911-8-1.x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1540</Words>
  <Characters>8778</Characters>
  <Application>Microsoft Office Word</Application>
  <DocSecurity>0</DocSecurity>
  <Lines>73</Lines>
  <Paragraphs>20</Paragraphs>
  <ScaleCrop>false</ScaleCrop>
  <Company>TURMOB</Company>
  <LinksUpToDate>false</LinksUpToDate>
  <CharactersWithSpaces>10298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210</cp:revision>
  <cp:lastPrinted>2013-08-21T14:33:00Z</cp:lastPrinted>
  <dcterms:created xsi:type="dcterms:W3CDTF">2013-06-03T05:31:00Z</dcterms:created>
  <dcterms:modified xsi:type="dcterms:W3CDTF">2013-09-11T05:32:00Z</dcterms:modified>
</cp:coreProperties>
</file>