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EA1798" w:rsidRDefault="00617B09" w:rsidP="00605336">
      <w:pPr>
        <w:spacing w:after="0" w:line="280" w:lineRule="atLeast"/>
        <w:rPr>
          <w:rFonts w:ascii="Times New Roman" w:hAnsi="Times New Roman" w:cs="Times New Roman"/>
          <w:b/>
          <w:sz w:val="20"/>
          <w:szCs w:val="20"/>
          <w:u w:val="single"/>
        </w:rPr>
      </w:pPr>
      <w:r w:rsidRPr="00EA1798">
        <w:rPr>
          <w:rFonts w:ascii="Times New Roman" w:hAnsi="Times New Roman" w:cs="Times New Roman"/>
          <w:b/>
          <w:sz w:val="20"/>
          <w:szCs w:val="20"/>
          <w:u w:val="single"/>
        </w:rPr>
        <w:t>24</w:t>
      </w:r>
      <w:r w:rsidR="004F1E1E" w:rsidRPr="00EA1798">
        <w:rPr>
          <w:rFonts w:ascii="Times New Roman" w:hAnsi="Times New Roman" w:cs="Times New Roman"/>
          <w:b/>
          <w:sz w:val="20"/>
          <w:szCs w:val="20"/>
          <w:u w:val="single"/>
        </w:rPr>
        <w:t xml:space="preserve">  Eylül</w:t>
      </w:r>
      <w:r w:rsidR="00802E28" w:rsidRPr="00EA1798">
        <w:rPr>
          <w:rFonts w:ascii="Times New Roman" w:hAnsi="Times New Roman" w:cs="Times New Roman"/>
          <w:b/>
          <w:sz w:val="20"/>
          <w:szCs w:val="20"/>
          <w:u w:val="single"/>
        </w:rPr>
        <w:t xml:space="preserve"> 2013,</w:t>
      </w:r>
      <w:r w:rsidR="000370C9" w:rsidRPr="00EA1798">
        <w:rPr>
          <w:rFonts w:ascii="Times New Roman" w:hAnsi="Times New Roman" w:cs="Times New Roman"/>
          <w:b/>
          <w:sz w:val="20"/>
          <w:szCs w:val="20"/>
          <w:u w:val="single"/>
        </w:rPr>
        <w:t xml:space="preserve"> </w:t>
      </w:r>
      <w:r w:rsidR="000370C9" w:rsidRPr="00EA1798">
        <w:rPr>
          <w:rFonts w:ascii="Times New Roman" w:hAnsi="Times New Roman" w:cs="Times New Roman"/>
          <w:b/>
          <w:sz w:val="20"/>
          <w:szCs w:val="20"/>
          <w:u w:val="single"/>
        </w:rPr>
        <w:tab/>
      </w:r>
      <w:r w:rsidR="000370C9" w:rsidRPr="00EA1798">
        <w:rPr>
          <w:rFonts w:ascii="Times New Roman" w:hAnsi="Times New Roman" w:cs="Times New Roman"/>
          <w:b/>
          <w:sz w:val="20"/>
          <w:szCs w:val="20"/>
          <w:u w:val="single"/>
        </w:rPr>
        <w:tab/>
      </w:r>
      <w:r w:rsidR="000370C9" w:rsidRPr="00EA1798">
        <w:rPr>
          <w:rFonts w:ascii="Times New Roman" w:hAnsi="Times New Roman" w:cs="Times New Roman"/>
          <w:b/>
          <w:sz w:val="20"/>
          <w:szCs w:val="20"/>
          <w:u w:val="single"/>
        </w:rPr>
        <w:tab/>
      </w:r>
      <w:r w:rsidR="000370C9" w:rsidRPr="00EA1798">
        <w:rPr>
          <w:rFonts w:ascii="Times New Roman" w:hAnsi="Times New Roman" w:cs="Times New Roman"/>
          <w:b/>
          <w:sz w:val="20"/>
          <w:szCs w:val="20"/>
          <w:u w:val="single"/>
        </w:rPr>
        <w:tab/>
      </w:r>
      <w:r w:rsidR="000370C9" w:rsidRPr="00EA1798">
        <w:rPr>
          <w:rFonts w:ascii="Times New Roman" w:hAnsi="Times New Roman" w:cs="Times New Roman"/>
          <w:b/>
          <w:sz w:val="20"/>
          <w:szCs w:val="20"/>
          <w:u w:val="single"/>
        </w:rPr>
        <w:tab/>
      </w:r>
      <w:r w:rsidR="000370C9" w:rsidRPr="00EA1798">
        <w:rPr>
          <w:rFonts w:ascii="Times New Roman" w:hAnsi="Times New Roman" w:cs="Times New Roman"/>
          <w:b/>
          <w:sz w:val="20"/>
          <w:szCs w:val="20"/>
          <w:u w:val="single"/>
        </w:rPr>
        <w:tab/>
      </w:r>
      <w:r w:rsidR="002950D7" w:rsidRPr="00EA1798">
        <w:rPr>
          <w:rFonts w:ascii="Times New Roman" w:hAnsi="Times New Roman" w:cs="Times New Roman"/>
          <w:b/>
          <w:sz w:val="20"/>
          <w:szCs w:val="20"/>
          <w:u w:val="single"/>
        </w:rPr>
        <w:tab/>
      </w:r>
      <w:r w:rsidR="00BF2F3F" w:rsidRPr="00EA1798">
        <w:rPr>
          <w:rFonts w:ascii="Times New Roman" w:hAnsi="Times New Roman" w:cs="Times New Roman"/>
          <w:b/>
          <w:sz w:val="20"/>
          <w:szCs w:val="20"/>
          <w:u w:val="single"/>
        </w:rPr>
        <w:tab/>
        <w:t xml:space="preserve">           </w:t>
      </w:r>
      <w:r w:rsidR="00C750C0" w:rsidRPr="00EA1798">
        <w:rPr>
          <w:rFonts w:ascii="Times New Roman" w:hAnsi="Times New Roman" w:cs="Times New Roman"/>
          <w:b/>
          <w:sz w:val="20"/>
          <w:szCs w:val="20"/>
          <w:u w:val="single"/>
        </w:rPr>
        <w:t xml:space="preserve"> </w:t>
      </w:r>
      <w:r w:rsidR="005A4F7F" w:rsidRPr="00EA1798">
        <w:rPr>
          <w:rFonts w:ascii="Times New Roman" w:hAnsi="Times New Roman" w:cs="Times New Roman"/>
          <w:b/>
          <w:sz w:val="20"/>
          <w:szCs w:val="20"/>
          <w:u w:val="single"/>
        </w:rPr>
        <w:t xml:space="preserve"> </w:t>
      </w:r>
      <w:r w:rsidRPr="00EA1798">
        <w:rPr>
          <w:rFonts w:ascii="Times New Roman" w:hAnsi="Times New Roman" w:cs="Times New Roman"/>
          <w:b/>
          <w:sz w:val="20"/>
          <w:szCs w:val="20"/>
          <w:u w:val="single"/>
        </w:rPr>
        <w:t xml:space="preserve">    </w:t>
      </w:r>
      <w:r w:rsidR="005A4F7F" w:rsidRPr="00EA1798">
        <w:rPr>
          <w:rFonts w:ascii="Times New Roman" w:hAnsi="Times New Roman" w:cs="Times New Roman"/>
          <w:b/>
          <w:sz w:val="20"/>
          <w:szCs w:val="20"/>
          <w:u w:val="single"/>
        </w:rPr>
        <w:t xml:space="preserve">    </w:t>
      </w:r>
      <w:r w:rsidR="00C750C0" w:rsidRPr="00EA1798">
        <w:rPr>
          <w:rFonts w:ascii="Times New Roman" w:hAnsi="Times New Roman" w:cs="Times New Roman"/>
          <w:b/>
          <w:sz w:val="20"/>
          <w:szCs w:val="20"/>
          <w:u w:val="single"/>
        </w:rPr>
        <w:t xml:space="preserve"> </w:t>
      </w:r>
      <w:r w:rsidR="00C64C84" w:rsidRPr="00EA1798">
        <w:rPr>
          <w:rFonts w:ascii="Times New Roman" w:hAnsi="Times New Roman" w:cs="Times New Roman"/>
          <w:b/>
          <w:sz w:val="20"/>
          <w:szCs w:val="20"/>
          <w:u w:val="single"/>
        </w:rPr>
        <w:t xml:space="preserve">  </w:t>
      </w:r>
      <w:r w:rsidRPr="00EA1798">
        <w:rPr>
          <w:rFonts w:ascii="Times New Roman" w:hAnsi="Times New Roman" w:cs="Times New Roman"/>
          <w:b/>
          <w:sz w:val="20"/>
          <w:szCs w:val="20"/>
          <w:u w:val="single"/>
        </w:rPr>
        <w:t xml:space="preserve"> </w:t>
      </w:r>
      <w:proofErr w:type="gramStart"/>
      <w:r w:rsidRPr="00EA1798">
        <w:rPr>
          <w:rFonts w:ascii="Times New Roman" w:hAnsi="Times New Roman" w:cs="Times New Roman"/>
          <w:b/>
          <w:sz w:val="20"/>
          <w:szCs w:val="20"/>
          <w:u w:val="single"/>
        </w:rPr>
        <w:t>Sayı : 28775</w:t>
      </w:r>
      <w:proofErr w:type="gramEnd"/>
    </w:p>
    <w:p w:rsidR="00A62B93" w:rsidRPr="00EA1798" w:rsidRDefault="00A62B93" w:rsidP="00A62B93">
      <w:pPr>
        <w:spacing w:after="0"/>
        <w:jc w:val="both"/>
        <w:rPr>
          <w:rFonts w:ascii="Times New Roman" w:eastAsia="Times New Roman" w:hAnsi="Times New Roman" w:cs="Times New Roman"/>
          <w:b/>
          <w:color w:val="000000"/>
          <w:sz w:val="20"/>
          <w:szCs w:val="20"/>
          <w:lang w:eastAsia="tr-TR"/>
        </w:rPr>
      </w:pPr>
    </w:p>
    <w:p w:rsidR="00A62B93" w:rsidRPr="00EA1798" w:rsidRDefault="00A62B93" w:rsidP="00A62B93">
      <w:pPr>
        <w:spacing w:after="0"/>
        <w:jc w:val="both"/>
        <w:rPr>
          <w:rFonts w:ascii="Times New Roman" w:eastAsia="Times New Roman" w:hAnsi="Times New Roman" w:cs="Times New Roman"/>
          <w:b/>
          <w:color w:val="000000"/>
          <w:sz w:val="20"/>
          <w:szCs w:val="20"/>
          <w:lang w:eastAsia="tr-TR"/>
        </w:rPr>
      </w:pPr>
    </w:p>
    <w:p w:rsidR="00EA1798" w:rsidRPr="00EA1798" w:rsidRDefault="00EA1798" w:rsidP="00EA1798">
      <w:pPr>
        <w:spacing w:after="0"/>
        <w:jc w:val="both"/>
        <w:rPr>
          <w:rFonts w:ascii="Times New Roman" w:eastAsia="Times New Roman" w:hAnsi="Times New Roman" w:cs="Times New Roman"/>
          <w:b/>
          <w:color w:val="000000"/>
          <w:sz w:val="20"/>
          <w:szCs w:val="20"/>
          <w:lang w:eastAsia="tr-TR"/>
        </w:rPr>
      </w:pPr>
      <w:r w:rsidRPr="00EA1798">
        <w:rPr>
          <w:rFonts w:ascii="Times New Roman" w:eastAsia="Times New Roman" w:hAnsi="Times New Roman" w:cs="Times New Roman"/>
          <w:b/>
          <w:color w:val="000000"/>
          <w:sz w:val="20"/>
          <w:szCs w:val="20"/>
          <w:lang w:eastAsia="tr-TR"/>
        </w:rPr>
        <w:t>Kamu İhale Kurumundan:</w:t>
      </w:r>
    </w:p>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ÇERÇEVE ANLAŞMA İHALELERİ UYGULAMA YÖNETMELİĞİNDE DEĞİŞİKLİK YAPILMASINA DAİR YÖNETMELİK</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MADDE 1 –</w:t>
      </w:r>
      <w:r w:rsidRPr="00EA1798">
        <w:rPr>
          <w:rFonts w:ascii="Times New Roman" w:eastAsia="Times New Roman" w:hAnsi="Times New Roman" w:cs="Times New Roman"/>
          <w:color w:val="000000"/>
          <w:sz w:val="20"/>
          <w:szCs w:val="20"/>
          <w:lang w:eastAsia="tr-TR"/>
        </w:rPr>
        <w:t> </w:t>
      </w:r>
      <w:proofErr w:type="gramStart"/>
      <w:r w:rsidRPr="00EA1798">
        <w:rPr>
          <w:rFonts w:ascii="Times New Roman" w:eastAsia="Times New Roman" w:hAnsi="Times New Roman" w:cs="Times New Roman"/>
          <w:color w:val="000000"/>
          <w:sz w:val="20"/>
          <w:szCs w:val="20"/>
          <w:lang w:eastAsia="tr-TR"/>
        </w:rPr>
        <w:t>4/3/2009</w:t>
      </w:r>
      <w:proofErr w:type="gramEnd"/>
      <w:r w:rsidRPr="00EA1798">
        <w:rPr>
          <w:rFonts w:ascii="Times New Roman" w:eastAsia="Times New Roman" w:hAnsi="Times New Roman" w:cs="Times New Roman"/>
          <w:color w:val="000000"/>
          <w:sz w:val="20"/>
          <w:szCs w:val="20"/>
          <w:lang w:eastAsia="tr-TR"/>
        </w:rPr>
        <w:t> tarihli ve 27159 mükerrer sayılı Resmî Gazete’de yayımlanan Çerçeve Anlaşma İhaleleri Uygulama Yönetmeliğinin 4 üncü maddesinin ikinci fıkrası aşağıdaki şekilde değiştirilmiştir.</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b/>
          <w:bCs/>
          <w:color w:val="000000"/>
          <w:sz w:val="20"/>
          <w:szCs w:val="20"/>
          <w:lang w:eastAsia="tr-TR"/>
        </w:rPr>
        <w:t>MADDE 2 –</w:t>
      </w:r>
      <w:r w:rsidRPr="00EA1798">
        <w:rPr>
          <w:rFonts w:ascii="Times New Roman" w:eastAsia="Times New Roman" w:hAnsi="Times New Roman" w:cs="Times New Roman"/>
          <w:color w:val="000000"/>
          <w:sz w:val="20"/>
          <w:szCs w:val="20"/>
          <w:lang w:eastAsia="tr-TR"/>
        </w:rPr>
        <w:t xml:space="preserve"> Aynı Yönetmeliğin eki Ek-1’de yer alan standart formlardan KİK015.0/Ç sayılı Çerçeve Anlaşma İçin Kesinleşen İhale Kararının Bildirilmesi Formunda yer alan “postayla gönderilmesi halinde postaya verildiği tarihi izleyen yedinci gün tarafınıza tebliğ edildiği tarih sayılacaktır.” ibaresi “iadeli taahhütlü mektupla gönderilmesi halinde mektubun tarafınıza teslim edildiği tarih, tebliğ tarihi sayılacaktır.” şeklinde değiştirilmiş ve 2 numaralı dipnot yürürlükten kaldırılmıştır. </w:t>
      </w:r>
      <w:proofErr w:type="gramEnd"/>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b/>
          <w:bCs/>
          <w:color w:val="000000"/>
          <w:sz w:val="20"/>
          <w:szCs w:val="20"/>
          <w:lang w:eastAsia="tr-TR"/>
        </w:rPr>
        <w:t>MADDE 3 –</w:t>
      </w:r>
      <w:r w:rsidRPr="00EA1798">
        <w:rPr>
          <w:rFonts w:ascii="Times New Roman" w:eastAsia="Times New Roman" w:hAnsi="Times New Roman" w:cs="Times New Roman"/>
          <w:color w:val="000000"/>
          <w:sz w:val="20"/>
          <w:szCs w:val="20"/>
          <w:lang w:eastAsia="tr-TR"/>
        </w:rPr>
        <w:t xml:space="preserve"> Aynı Yönetmeliğin eki Ek-1’de yer alan standart formlardan KİK015.1/Ç sayılı Münferit Sözleşme İçin Kesinleşen İhale Kararının Bildirilmesi Formunda yer alan “postayla gönderilmesi halinde postaya verildiği tarihi izleyen yedinci gün tarafınıza tebliğ edildiği tarih sayılacaktır.” ibaresi “iadeli taahhütlü mektupla gönderilmesi halinde mektubun tarafınıza teslim edildiği tarih, tebliğ tarihi sayılacaktır.” şeklinde değiştirilmiş ve 2 numaralı dipnot yürürlükten kaldırılmıştır. </w:t>
      </w:r>
      <w:proofErr w:type="gramEnd"/>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b/>
          <w:bCs/>
          <w:color w:val="000000"/>
          <w:sz w:val="20"/>
          <w:szCs w:val="20"/>
          <w:lang w:eastAsia="tr-TR"/>
        </w:rPr>
        <w:t>MADDE 4 –</w:t>
      </w:r>
      <w:r w:rsidRPr="00EA1798">
        <w:rPr>
          <w:rFonts w:ascii="Times New Roman" w:eastAsia="Times New Roman" w:hAnsi="Times New Roman" w:cs="Times New Roman"/>
          <w:color w:val="000000"/>
          <w:sz w:val="20"/>
          <w:szCs w:val="20"/>
          <w:lang w:eastAsia="tr-TR"/>
        </w:rPr>
        <w:t xml:space="preserve"> Aynı Yönetmeliğin eki Ek-1’de yer alan standart formlardan KİK016.0/Ç sayılı İhale İptal Kararının Bildirilmesi Formunda yer alan “postayla gönderilmesi halinde postaya verildiği tarihi izleyen yedinci gün kararın tarafınıza tebliğ edildiği tarih sayılacaktır.” ibaresi “iadeli taahhütlü mektupla gönderilmesi halinde mektubun tarafınıza teslim edildiği tarih, tebliğ tarihi sayılacaktır.” şeklinde değiştirilmiş ve 3 numaralı dipnot yürürlükten kaldırılmıştır. </w:t>
      </w:r>
      <w:proofErr w:type="gramEnd"/>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b/>
          <w:bCs/>
          <w:color w:val="000000"/>
          <w:sz w:val="20"/>
          <w:szCs w:val="20"/>
          <w:lang w:eastAsia="tr-TR"/>
        </w:rPr>
        <w:t>MADDE 5 –</w:t>
      </w:r>
      <w:r w:rsidRPr="00EA1798">
        <w:rPr>
          <w:rFonts w:ascii="Times New Roman" w:eastAsia="Times New Roman" w:hAnsi="Times New Roman" w:cs="Times New Roman"/>
          <w:color w:val="000000"/>
          <w:sz w:val="20"/>
          <w:szCs w:val="20"/>
          <w:lang w:eastAsia="tr-TR"/>
        </w:rPr>
        <w:t xml:space="preserve"> Aynı Yönetmeliğin eki Ek-1’de yer alan standart formlardan KİK016.1/Ç sayılı Bütün Tekliflerin Reddedilmesi Sebebiyle İhalenin İptal Kararının Bildirilmesi Formunda yer alan “Bu mektubun postaya verildiği tarihi izleyen yedinci gün kararın tarafınıza tebliğ edildiği tarih sayılacaktır.” ibaresi “Bu mektubun elden tebliğ edilmesi halinde aynı gün, iadeli taahhütlü mektupla gönderilmesi halinde mektubun tarafınıza teslim edildiği tarih, tebliğ tarihi sayılacaktır.” şeklinde değiştirilmiş ve 3 numaralı dipnot yürürlükten kaldırılmıştır. </w:t>
      </w:r>
      <w:proofErr w:type="gramEnd"/>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b/>
          <w:bCs/>
          <w:color w:val="000000"/>
          <w:sz w:val="20"/>
          <w:szCs w:val="20"/>
          <w:lang w:eastAsia="tr-TR"/>
        </w:rPr>
        <w:t>MADDE 6 –</w:t>
      </w:r>
      <w:r w:rsidRPr="00EA1798">
        <w:rPr>
          <w:rFonts w:ascii="Times New Roman" w:eastAsia="Times New Roman" w:hAnsi="Times New Roman" w:cs="Times New Roman"/>
          <w:color w:val="000000"/>
          <w:sz w:val="20"/>
          <w:szCs w:val="20"/>
          <w:lang w:eastAsia="tr-TR"/>
        </w:rPr>
        <w:t xml:space="preserve"> Aynı Yönetmeliğin eki Ek-1’de yer alan standart formlardan KİK017.0/Ç sayılı Çerçeve Anlaşma İhalesinde Listeye Alınan İsteklinin Anlaşma İmzalamaya Davet Edilmesine İlişkin Formda yer alan “Bu davet yazısı tarafınıza elden tebliğ edilmediği takdirde, postaya verildiği tarihi izleyen yedinci gün davetin tarafınıza tebliğ edildiği tarih sayılacaktır.” ibaresi “Bu davet yazısının elden tebliğ edilmesi halinde aynı gün, iadeli taahhütlü mektupla gönderilmesi halinde yazının tarafınıza teslim edildiği tarih, tebliğ tarihi sayılacaktır.” şeklinde değiştirilmiş ve 3 numaralı dipnot yürürlükten kaldırılmıştır. </w:t>
      </w:r>
      <w:proofErr w:type="gramEnd"/>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b/>
          <w:bCs/>
          <w:color w:val="000000"/>
          <w:sz w:val="20"/>
          <w:szCs w:val="20"/>
          <w:lang w:eastAsia="tr-TR"/>
        </w:rPr>
        <w:t>MADDE 7 –</w:t>
      </w:r>
      <w:r w:rsidRPr="00EA1798">
        <w:rPr>
          <w:rFonts w:ascii="Times New Roman" w:eastAsia="Times New Roman" w:hAnsi="Times New Roman" w:cs="Times New Roman"/>
          <w:color w:val="000000"/>
          <w:sz w:val="20"/>
          <w:szCs w:val="20"/>
          <w:lang w:eastAsia="tr-TR"/>
        </w:rPr>
        <w:t xml:space="preserve"> Aynı Yönetmeliğin eki Ek-1’de yer alan standart formlardan KİK018.0/Ç sayılı Münferit Sözleşme Aşamasında Teklif Vermeye Davet Formunda yer alan “Bu davet yazısı tarafınıza elden tebliğ edilmediği takdirde, postaya verildiği tarihi izleyen yedinci gün davetin tarafınıza tebliğ edildiği tarih sayılacaktır.” ibaresi “Bu davet yazısının elden tebliğ edilmesi halinde aynı gün, iadeli taahhütlü mektupla gönderilmesi halinde yazının tarafınıza teslim edildiği tarih, tebliğ tarihi sayılacaktır.” şeklinde değiştirilmiş ve 2 numaralı dipnot yürürlükten kaldırılmıştır. </w:t>
      </w:r>
      <w:proofErr w:type="gramEnd"/>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lastRenderedPageBreak/>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MADDE 8 –</w:t>
      </w:r>
      <w:r w:rsidRPr="00EA1798">
        <w:rPr>
          <w:rFonts w:ascii="Times New Roman" w:eastAsia="Times New Roman" w:hAnsi="Times New Roman" w:cs="Times New Roman"/>
          <w:color w:val="000000"/>
          <w:sz w:val="20"/>
          <w:szCs w:val="20"/>
          <w:lang w:eastAsia="tr-TR"/>
        </w:rPr>
        <w:t> Aynı Yönetmeliğin eki Ek-2’sinde yer alan Çerçeve Anlaşma İhalelerinde Uygulanacak Tip İdari Şartnamenin </w:t>
      </w:r>
      <w:proofErr w:type="gramStart"/>
      <w:r w:rsidRPr="00EA1798">
        <w:rPr>
          <w:rFonts w:ascii="Times New Roman" w:eastAsia="Times New Roman" w:hAnsi="Times New Roman" w:cs="Times New Roman"/>
          <w:color w:val="000000"/>
          <w:sz w:val="20"/>
          <w:szCs w:val="20"/>
          <w:lang w:eastAsia="tr-TR"/>
        </w:rPr>
        <w:t>6.2</w:t>
      </w:r>
      <w:proofErr w:type="gramEnd"/>
      <w:r w:rsidRPr="00EA1798">
        <w:rPr>
          <w:rFonts w:ascii="Times New Roman" w:eastAsia="Times New Roman" w:hAnsi="Times New Roman" w:cs="Times New Roman"/>
          <w:color w:val="000000"/>
          <w:sz w:val="20"/>
          <w:szCs w:val="20"/>
          <w:lang w:eastAsia="tr-TR"/>
        </w:rPr>
        <w:t> maddesi aşağıdaki şekilde değiştirilmiştir.</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MADDE 9 –</w:t>
      </w:r>
      <w:r w:rsidRPr="00EA1798">
        <w:rPr>
          <w:rFonts w:ascii="Times New Roman" w:eastAsia="Times New Roman" w:hAnsi="Times New Roman" w:cs="Times New Roman"/>
          <w:color w:val="000000"/>
          <w:sz w:val="20"/>
          <w:szCs w:val="20"/>
          <w:lang w:eastAsia="tr-TR"/>
        </w:rPr>
        <w:t> Aynı Yönetmeliğin eki Ek-3’ünde yer alan Mal ve Hizmet Alımları İle Yapım İşlerine Ait Tip Çerçeve Anlaşmanın </w:t>
      </w:r>
      <w:proofErr w:type="gramStart"/>
      <w:r w:rsidRPr="00EA1798">
        <w:rPr>
          <w:rFonts w:ascii="Times New Roman" w:eastAsia="Times New Roman" w:hAnsi="Times New Roman" w:cs="Times New Roman"/>
          <w:color w:val="000000"/>
          <w:sz w:val="20"/>
          <w:szCs w:val="20"/>
          <w:lang w:eastAsia="tr-TR"/>
        </w:rPr>
        <w:t>3.2</w:t>
      </w:r>
      <w:proofErr w:type="gramEnd"/>
      <w:r w:rsidRPr="00EA1798">
        <w:rPr>
          <w:rFonts w:ascii="Times New Roman" w:eastAsia="Times New Roman" w:hAnsi="Times New Roman" w:cs="Times New Roman"/>
          <w:color w:val="000000"/>
          <w:sz w:val="20"/>
          <w:szCs w:val="20"/>
          <w:lang w:eastAsia="tr-TR"/>
        </w:rPr>
        <w:t> maddesi aşağıdaki şekilde değiştirilmiştir.</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p w:rsidR="00EA1798" w:rsidRPr="00EA1798" w:rsidRDefault="00EA1798" w:rsidP="00EA1798">
      <w:pPr>
        <w:spacing w:after="0"/>
        <w:jc w:val="both"/>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“3.2.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EA1798" w:rsidRPr="00EA1798" w:rsidRDefault="00EA1798" w:rsidP="00EA179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MADDE 10 –</w:t>
      </w:r>
      <w:r w:rsidRPr="00EA1798">
        <w:rPr>
          <w:rFonts w:ascii="Times New Roman" w:eastAsia="Times New Roman" w:hAnsi="Times New Roman" w:cs="Times New Roman"/>
          <w:color w:val="000000"/>
          <w:sz w:val="20"/>
          <w:szCs w:val="20"/>
          <w:lang w:eastAsia="tr-TR"/>
        </w:rPr>
        <w:t> Bu Yönetmelik yayımı tarihinde yürürlüğe girer.</w:t>
      </w:r>
    </w:p>
    <w:p w:rsidR="00EA1798" w:rsidRPr="00EA1798" w:rsidRDefault="00EA1798" w:rsidP="00EA1798">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MADDE 11 –</w:t>
      </w:r>
      <w:r w:rsidRPr="00EA1798">
        <w:rPr>
          <w:rFonts w:ascii="Times New Roman" w:eastAsia="Times New Roman" w:hAnsi="Times New Roman" w:cs="Times New Roman"/>
          <w:color w:val="000000"/>
          <w:sz w:val="20"/>
          <w:szCs w:val="20"/>
          <w:lang w:eastAsia="tr-TR"/>
        </w:rPr>
        <w:t> Bu Yönetmelik hükümlerini Kamu İhale Kurumu Başkanı yürütür.</w:t>
      </w:r>
    </w:p>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EA1798" w:rsidRPr="00EA1798">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Yönetmeliğin Yayımlandığı Resmî Gazete'nin</w:t>
            </w:r>
          </w:p>
        </w:tc>
      </w:tr>
      <w:tr w:rsidR="00EA1798" w:rsidRPr="00EA1798">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 xml:space="preserve">Sayısı </w:t>
            </w:r>
          </w:p>
        </w:tc>
      </w:tr>
      <w:tr w:rsidR="00EA1798" w:rsidRPr="00EA1798">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color w:val="000000"/>
                <w:sz w:val="20"/>
                <w:szCs w:val="20"/>
                <w:lang w:eastAsia="tr-TR"/>
              </w:rPr>
              <w:t>4/3/2009</w:t>
            </w:r>
            <w:proofErr w:type="gramEnd"/>
            <w:r w:rsidRPr="00EA179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27159 Mükerrer</w:t>
            </w:r>
          </w:p>
        </w:tc>
      </w:tr>
      <w:tr w:rsidR="00EA1798" w:rsidRPr="00EA1798">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EA1798" w:rsidRPr="00EA1798">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b/>
                <w:bCs/>
                <w:color w:val="000000"/>
                <w:sz w:val="20"/>
                <w:szCs w:val="20"/>
                <w:lang w:eastAsia="tr-TR"/>
              </w:rPr>
              <w:t xml:space="preserve">Sayısı </w:t>
            </w:r>
          </w:p>
        </w:tc>
      </w:tr>
      <w:tr w:rsidR="00EA1798" w:rsidRPr="00EA179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color w:val="000000"/>
                <w:sz w:val="20"/>
                <w:szCs w:val="20"/>
                <w:lang w:eastAsia="tr-TR"/>
              </w:rPr>
              <w:t>3/7/2009</w:t>
            </w:r>
            <w:proofErr w:type="gramEnd"/>
            <w:r w:rsidRPr="00EA179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27277</w:t>
            </w:r>
          </w:p>
        </w:tc>
      </w:tr>
      <w:tr w:rsidR="00EA1798" w:rsidRPr="00EA179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color w:val="000000"/>
                <w:sz w:val="20"/>
                <w:szCs w:val="20"/>
                <w:lang w:eastAsia="tr-TR"/>
              </w:rPr>
              <w:t>16/3/2011</w:t>
            </w:r>
            <w:proofErr w:type="gramEnd"/>
            <w:r w:rsidRPr="00EA179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27876</w:t>
            </w:r>
          </w:p>
        </w:tc>
      </w:tr>
      <w:tr w:rsidR="00EA1798" w:rsidRPr="00EA179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color w:val="000000"/>
                <w:sz w:val="20"/>
                <w:szCs w:val="20"/>
                <w:lang w:eastAsia="tr-TR"/>
              </w:rPr>
              <w:t>8/9/2011</w:t>
            </w:r>
            <w:proofErr w:type="gramEnd"/>
            <w:r w:rsidRPr="00EA179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28048</w:t>
            </w:r>
          </w:p>
        </w:tc>
      </w:tr>
      <w:tr w:rsidR="00EA1798" w:rsidRPr="00EA179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color w:val="000000"/>
                <w:sz w:val="20"/>
                <w:szCs w:val="20"/>
                <w:lang w:eastAsia="tr-TR"/>
              </w:rPr>
              <w:t>14/11/2012</w:t>
            </w:r>
            <w:proofErr w:type="gramEnd"/>
            <w:r w:rsidRPr="00EA179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28467</w:t>
            </w:r>
          </w:p>
        </w:tc>
      </w:tr>
      <w:tr w:rsidR="00EA1798" w:rsidRPr="00EA1798">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EA1798">
              <w:rPr>
                <w:rFonts w:ascii="Times New Roman" w:eastAsia="Times New Roman" w:hAnsi="Times New Roman" w:cs="Times New Roman"/>
                <w:color w:val="000000"/>
                <w:sz w:val="20"/>
                <w:szCs w:val="20"/>
                <w:lang w:eastAsia="tr-TR"/>
              </w:rPr>
              <w:t>13/4/2013</w:t>
            </w:r>
            <w:proofErr w:type="gramEnd"/>
            <w:r w:rsidRPr="00EA1798">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EA1798" w:rsidRPr="00EA1798" w:rsidRDefault="00EA1798" w:rsidP="00EA1798">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EA1798">
              <w:rPr>
                <w:rFonts w:ascii="Times New Roman" w:eastAsia="Times New Roman" w:hAnsi="Times New Roman" w:cs="Times New Roman"/>
                <w:color w:val="000000"/>
                <w:sz w:val="20"/>
                <w:szCs w:val="20"/>
                <w:lang w:eastAsia="tr-TR"/>
              </w:rPr>
              <w:t>28617</w:t>
            </w:r>
          </w:p>
        </w:tc>
      </w:tr>
    </w:tbl>
    <w:p w:rsidR="00EA1798" w:rsidRPr="00EA1798" w:rsidRDefault="00EA1798" w:rsidP="00A62B93">
      <w:pPr>
        <w:spacing w:after="0"/>
        <w:jc w:val="both"/>
        <w:rPr>
          <w:rFonts w:ascii="Times New Roman" w:eastAsia="Times New Roman" w:hAnsi="Times New Roman" w:cs="Times New Roman"/>
          <w:b/>
          <w:color w:val="000000"/>
          <w:sz w:val="20"/>
          <w:szCs w:val="20"/>
          <w:lang w:eastAsia="tr-TR"/>
        </w:rPr>
      </w:pPr>
    </w:p>
    <w:sectPr w:rsidR="00EA1798" w:rsidRPr="00EA179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9AC" w:rsidRDefault="006519AC" w:rsidP="00CE6B7C">
      <w:pPr>
        <w:spacing w:after="0" w:line="240" w:lineRule="auto"/>
      </w:pPr>
      <w:r>
        <w:separator/>
      </w:r>
    </w:p>
  </w:endnote>
  <w:endnote w:type="continuationSeparator" w:id="0">
    <w:p w:rsidR="006519AC" w:rsidRDefault="006519A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193BFA">
        <w:pPr>
          <w:pStyle w:val="Altbilgi"/>
          <w:jc w:val="center"/>
        </w:pPr>
        <w:fldSimple w:instr=" PAGE   \* MERGEFORMAT ">
          <w:r w:rsidR="00EA179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9AC" w:rsidRDefault="006519AC" w:rsidP="00CE6B7C">
      <w:pPr>
        <w:spacing w:after="0" w:line="240" w:lineRule="auto"/>
      </w:pPr>
      <w:r>
        <w:separator/>
      </w:r>
    </w:p>
  </w:footnote>
  <w:footnote w:type="continuationSeparator" w:id="0">
    <w:p w:rsidR="006519AC" w:rsidRDefault="006519A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3BFA"/>
    <w:rsid w:val="0019505A"/>
    <w:rsid w:val="00195C8D"/>
    <w:rsid w:val="0019652E"/>
    <w:rsid w:val="001A5990"/>
    <w:rsid w:val="001B1871"/>
    <w:rsid w:val="001B789E"/>
    <w:rsid w:val="001E375F"/>
    <w:rsid w:val="001F0FCB"/>
    <w:rsid w:val="001F76B8"/>
    <w:rsid w:val="00206CB0"/>
    <w:rsid w:val="00211F4F"/>
    <w:rsid w:val="002141DF"/>
    <w:rsid w:val="0022592F"/>
    <w:rsid w:val="00231ECE"/>
    <w:rsid w:val="002411CD"/>
    <w:rsid w:val="00241612"/>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A0B57"/>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165E0"/>
    <w:rsid w:val="008320C3"/>
    <w:rsid w:val="008332C5"/>
    <w:rsid w:val="00837276"/>
    <w:rsid w:val="00843669"/>
    <w:rsid w:val="00846A18"/>
    <w:rsid w:val="0085186D"/>
    <w:rsid w:val="008527AB"/>
    <w:rsid w:val="00853F74"/>
    <w:rsid w:val="00867B1E"/>
    <w:rsid w:val="0087102D"/>
    <w:rsid w:val="00883198"/>
    <w:rsid w:val="00887767"/>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A1C3C"/>
    <w:rsid w:val="00BA2DE9"/>
    <w:rsid w:val="00BA3089"/>
    <w:rsid w:val="00BC1244"/>
    <w:rsid w:val="00BC1C79"/>
    <w:rsid w:val="00BD1E1C"/>
    <w:rsid w:val="00BD61D6"/>
    <w:rsid w:val="00BF2F3F"/>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83ECF"/>
    <w:rsid w:val="00D930A9"/>
    <w:rsid w:val="00D9489C"/>
    <w:rsid w:val="00DA5C28"/>
    <w:rsid w:val="00DB4B0E"/>
    <w:rsid w:val="00DD7D93"/>
    <w:rsid w:val="00DE0D69"/>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814</Words>
  <Characters>4643</Characters>
  <Application>Microsoft Office Word</Application>
  <DocSecurity>0</DocSecurity>
  <Lines>38</Lines>
  <Paragraphs>10</Paragraphs>
  <ScaleCrop>false</ScaleCrop>
  <Company>TURMOB</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251</cp:revision>
  <cp:lastPrinted>2013-09-13T05:23:00Z</cp:lastPrinted>
  <dcterms:created xsi:type="dcterms:W3CDTF">2013-06-03T05:31:00Z</dcterms:created>
  <dcterms:modified xsi:type="dcterms:W3CDTF">2013-09-24T05:41:00Z</dcterms:modified>
</cp:coreProperties>
</file>