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68036F" w:rsidRDefault="000E33C0" w:rsidP="0095078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05</w:t>
      </w:r>
      <w:r w:rsidR="006F57CB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28812</w:t>
      </w:r>
      <w:proofErr w:type="gramEnd"/>
    </w:p>
    <w:p w:rsidR="00D737E9" w:rsidRDefault="00D737E9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CA326A">
        <w:rPr>
          <w:rFonts w:ascii="Times New Roman" w:eastAsia="ヒラギノ明朝 Pro W3" w:hAnsi="Times" w:cs="Times New Roman"/>
          <w:sz w:val="18"/>
          <w:szCs w:val="18"/>
          <w:u w:val="single"/>
        </w:rPr>
        <w:t>Bankac</w:t>
      </w:r>
      <w:r w:rsidRPr="00CA326A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  <w:u w:val="single"/>
        </w:rPr>
        <w:t>k D</w:t>
      </w:r>
      <w:r w:rsidRPr="00CA326A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  <w:u w:val="single"/>
        </w:rPr>
        <w:t>zenleme ve Denetleme Kurumundan:</w:t>
      </w:r>
    </w:p>
    <w:p w:rsidR="00CA326A" w:rsidRPr="00CA326A" w:rsidRDefault="00CA326A" w:rsidP="00CA326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SERMAYE KORUMA VE D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NG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SEL SERMAYE TAMPONLARINA</w:t>
      </w:r>
    </w:p>
    <w:p w:rsidR="00CA326A" w:rsidRPr="00CA326A" w:rsidRDefault="00CA326A" w:rsidP="00CA326A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CA326A" w:rsidRPr="00CA326A" w:rsidRDefault="00CA326A" w:rsidP="00CA326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A326A" w:rsidRPr="00CA326A" w:rsidRDefault="00CA326A" w:rsidP="00CA326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, Kapsam, Dayanak, Tan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bankalarca, sermaye koruma tamponu ve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sel sermaye tamponu olarak bulundurulmas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gereken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tutar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na ve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gereksiniminin kar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lanamamas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halinde yap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lemler ile al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nacak tedbirlere 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19/10/2005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tarihli ve 5411 say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k Kanununun 43 ve 93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maddelerine dayan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netmelikte yer alan;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a) Banka: Kanunun 3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mlanan bankay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b) Bankaya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sel sermaye tamponu (BDST): Kredi geni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lemesinin finansal sekt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genel risk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zeyini artt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rabilecek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zeylere ula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durumunda </w:t>
      </w:r>
      <w:proofErr w:type="spellStart"/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zkaynaklar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spell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sermaye yeterlili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zenlemelere 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re yetersiz kalmas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 ge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ilmesi amac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yla bankalarca bulundurulmas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beklenen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tutar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c) Bankaya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sel sermaye tamponu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: Bankaya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sel sermaye tamponu olarak bulundurulmas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beklenen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sermayenin hesaplanmas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 esas al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nan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ekirdek sermaye: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5/9/2013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tarihli ve 28756 say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zkaynaklar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</w:t>
      </w:r>
      <w:proofErr w:type="spell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netmelik uyar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nca hesaplanan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sermayeyi,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d)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sel tampon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: Bankaya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sel sermaye tamponu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yla kamuya 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klanacak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lave ana sermaye: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5/9/2013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tarihli ve 28756 say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zkaynaklar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</w:t>
      </w:r>
      <w:proofErr w:type="spell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netmelik uyar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nca hesaplanan ilave ana sermayeyi,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f) Kanun: 5411 say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 Kanununu,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g) Kurul: Bankac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zenleme ve Denetleme Kurulunu,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) Kurum: Bankac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zenleme ve Denetleme Kurumunu,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proofErr w:type="spellStart"/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zkaynak</w:t>
      </w:r>
      <w:proofErr w:type="spell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5/9/2013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tarihli ve 28756 say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zkaynaklar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</w:t>
      </w:r>
      <w:proofErr w:type="spell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netmelik uyar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nca hesaplanan </w:t>
      </w:r>
      <w:proofErr w:type="spellStart"/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zkayna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proofErr w:type="spellEnd"/>
      <w:r w:rsidRPr="00CA326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) Risk 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varl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klar tutar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(RAVT): Banka </w:t>
      </w:r>
      <w:proofErr w:type="spellStart"/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zkayna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spell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28/6/2012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tarihli ve 28337 say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mlanan Sermaye Yeterlili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erlendirmesine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netmelik uyar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nca hesaplanan sermaye yeterlili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 standart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b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nmesi sonucunda bulunacak tutar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i) Sermaye koruma tamponu (SKT): Ekonomik ve mali 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stergelerin bozulmas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durumunda kar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labilecek kay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plar nedeniyle </w:t>
      </w:r>
      <w:proofErr w:type="spellStart"/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zkaynaklar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spell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sermaye yeterlili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zenlemelere 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re yetersiz kalmas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 ge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ilmesi amac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yla bankalarca bulundurulmas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beklenen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tutar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j) Sermaye koruma tamponu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: Sermaye koruma tamponu olarak bulundurulmas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beklenen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sermayenin hesaplanmas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 esas al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nan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CA326A" w:rsidRPr="00CA326A" w:rsidRDefault="00CA326A" w:rsidP="00CA326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A326A" w:rsidRPr="00CA326A" w:rsidRDefault="00CA326A" w:rsidP="00CA326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lave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ekirdek Sermaye Hesaplamas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,  Oranlar ve S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rlamalar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lave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ekirdek sermaye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tutar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, bankan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sermayesinin 28/6/2012 tarihli ve 28337 say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Sermaye Yeterlili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olmayan hesaplamalar 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in 28 inci maddesi, konsolide hesaplamalar 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in ise 29 uncu maddesi uyar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nca sa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gereken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ve ana sermaye yeterlili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 oranlar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ile sermaye yeterlili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 standart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zere kulland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tutar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(2) Bankalar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gereksinimi BDST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ile SKT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toplam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 RAVT ile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sonucu bulunacak tutard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(3) SKT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ve konsolide olmayan bazda binde </w:t>
      </w:r>
      <w:proofErr w:type="spellStart"/>
      <w:r w:rsidRPr="00CA326A">
        <w:rPr>
          <w:rFonts w:ascii="Times New Roman" w:eastAsia="ヒラギノ明朝 Pro W3" w:hAnsi="Times" w:cs="Times New Roman"/>
          <w:sz w:val="18"/>
          <w:szCs w:val="18"/>
        </w:rPr>
        <w:t>yirmibe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tir</w:t>
      </w:r>
      <w:proofErr w:type="spellEnd"/>
      <w:r w:rsidRPr="00CA326A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(4) BDST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, Kurulca belirlenecek usul ve esaslar dahilinde, kredi portf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ylerinin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lke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narak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ve konsolide olmayan bazda bankalarca hesaplan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r. Bankalar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BDST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 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deki riskleri 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in kullanacaklar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sel tampon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Kurulca belirlenir.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S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rlamalar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(1) Bankalarca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ve konsolide olmayan bazda hesaplanacak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tutar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gereksiniminden daha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 olmas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halinde yap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lacak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,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ekirdek sermayenin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gereksinimine b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nmesi suretiyle bulunacak de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erin 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daki tabloda kar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 geldi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 dilime tekab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 eden azami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nispetinde 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2"/>
        <w:gridCol w:w="3873"/>
      </w:tblGrid>
      <w:tr w:rsidR="00CA326A" w:rsidRPr="00CA326A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Dilimler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Azami Kâr Dağıtım Oranı (%)</w:t>
            </w:r>
          </w:p>
        </w:tc>
      </w:tr>
      <w:tr w:rsidR="00CA326A" w:rsidRPr="00CA326A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%25 veya daha az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exact"/>
              <w:ind w:right="16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</w:tr>
      <w:tr w:rsidR="00CA326A" w:rsidRPr="00CA326A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%25’ten fazla ancak %50 veya daha az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exact"/>
              <w:ind w:right="16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</w:tr>
      <w:tr w:rsidR="00CA326A" w:rsidRPr="00CA326A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%50’den fazla ancak %75 veya daha az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exact"/>
              <w:ind w:right="16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</w:tr>
      <w:tr w:rsidR="00CA326A" w:rsidRPr="00CA326A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%75’ten fazla ancak %100’den daha az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exact"/>
              <w:ind w:right="16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</w:t>
            </w:r>
          </w:p>
        </w:tc>
      </w:tr>
    </w:tbl>
    <w:p w:rsidR="00CA326A" w:rsidRPr="00CA326A" w:rsidRDefault="00CA326A" w:rsidP="00CA326A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(2) Konsolide ve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olmayan hesaplamalar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 her ikisinde de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tutar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gereksiniminden az oldu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unun ortaya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halinde birinci f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kra uygulamas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 bankalarca bu hesaplamalardan en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ksek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neden olan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A326A" w:rsidRPr="00CA326A" w:rsidRDefault="00CA326A" w:rsidP="00CA326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A326A" w:rsidRPr="00CA326A" w:rsidRDefault="00CA326A" w:rsidP="00CA326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, Sermaye Koruma Plan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 ve Hesaplama ve Bildirim D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nemi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(1) 5 inci maddenin birinci f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labilecek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 tutar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, azami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labilir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tutar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suretiyle bulunur.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labilir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tutar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ve hesaplanmas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usul ve esaslar Kurulca belirlenir.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netmelik uygulamas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da belirtilenler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olarak kabul edilir: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a) Pay sahiplerine yap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lacak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demeleri ve hisse senedi geri al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lemleri.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b) Bankan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deme yapmama hakk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sahip olmas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men ilave ana sermayeye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hil ara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demeler.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c) 2 numaral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rkiye Finansal Raporlama Standard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anlara yap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lacak her 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ihtiyari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demeler.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) Kurulca belirlenecek di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deme ve 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lemler.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kra uygulamas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nda, bedelsiz hisse senedi verilmesi gibi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sermayeyi azaltmayan 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lemler ile yap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bankan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ihtiyar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 bulunmayan ve banka 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k, kar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taraf 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ndan ise bir alacak hakk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niteli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inde olan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deme ve 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lemler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olarak kabul edilmez.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(4) Bankalar, azami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 tutarlar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hesaplamalar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 ve do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ru bir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temin etmek,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olarak kabul edilen kalemlere 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yasal 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rlamalar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hilinde kalmas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layacak 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leri olu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turmak ve bu 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ler ile yap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lan hesaplamalar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Kurum denetimine haz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bulundurmakla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krada belirtilen kalemlere 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olarak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nelik yasal 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rlamalar ile Kurul veya Kurumca belirlenen di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er 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rlamalar sakl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Sermaye koruma plan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 ve di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er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nlemler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(1) 5 inci madde kapsam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tabi olan bankalar, azami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bildirimini izleyen bir ay 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inde Kuruma banka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netim kurulunca onaylanm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,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gereksiniminin sa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nelik bir sermaye koruma plan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sunar.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(2) Sermaye koruma plan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daki hususlara yer verilir: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a) Bankan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tabi tutulmas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neden olan hususlara 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tespit ve de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erlendirmeler.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b) 5 inci maddeye uygun olarak yap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planlanan 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da dikkate al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narak ilave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gereksiniminin sa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nelik zaman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izelgesi.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lave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ekirdek sermaye gereksiniminin sa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yla al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nacak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nlemler.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) (b) bendindeki zaman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izelgesi kapsam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 gelir, gider ve bilan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oya 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tahminler,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d) Bankan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sermaye koruma plan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yeterlili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ini desteklemek amac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yla sunmak istedi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 di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er bilgi ve belgeler.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(3) Kurum, sermaye koruma plan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erlendirerek gerek 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rmesi halinde sermaye koruma plan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talep eder.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(4) Bankalar sermaye koruma plan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evesinde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kleri faaliyetlere ve uyum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zeylerine 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de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erlendirmelerini 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nemlerle Kuruma g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sz w:val="18"/>
          <w:szCs w:val="18"/>
        </w:rPr>
        <w:t>(5) Bankalar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sermaye koruma plan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azami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zeyde uyum sa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r. Kurul, bankalar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 sermaye koruma plan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na uyum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zeylerinin yeterlili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i ile ekonomik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konjonkt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erlendirerek ilave tedbirler almaya yetkilidir.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Hesaplama ve bildirim d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nemi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(1) Bankalar, 5 inci madde kapsam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lacak hesaplamalar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, sermaye yeterlili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 standart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hesaplama ve bildirimleriyle ayn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nem ve tarihlerde ve bu standart orana ili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kin tablolar 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erisinde Kuruma bildirmek zorundad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A326A" w:rsidRPr="00CA326A" w:rsidRDefault="00CA326A" w:rsidP="00CA326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A326A" w:rsidRPr="00CA326A" w:rsidRDefault="00CA326A" w:rsidP="00CA326A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Ç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Asgari oranlarda ge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1/1/2019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tarihine kadar her bir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in SKT oran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olarak 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daki tablodaki oranlar dikkate al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0"/>
        <w:gridCol w:w="4725"/>
      </w:tblGrid>
      <w:tr w:rsidR="00CA326A" w:rsidRPr="00CA326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Yıl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SKT Oranı (%)</w:t>
            </w:r>
          </w:p>
        </w:tc>
      </w:tr>
      <w:tr w:rsidR="00CA326A" w:rsidRPr="00CA326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auto"/>
              <w:ind w:left="1230" w:firstLine="88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</w:tr>
      <w:tr w:rsidR="00CA326A" w:rsidRPr="00CA326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auto"/>
              <w:ind w:left="1230" w:firstLine="88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</w:tr>
      <w:tr w:rsidR="00CA326A" w:rsidRPr="00CA326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auto"/>
              <w:ind w:left="1230" w:firstLine="88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0,625</w:t>
            </w:r>
          </w:p>
        </w:tc>
      </w:tr>
      <w:tr w:rsidR="00CA326A" w:rsidRPr="00CA326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auto"/>
              <w:ind w:left="1230" w:firstLine="88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1,25</w:t>
            </w:r>
          </w:p>
        </w:tc>
      </w:tr>
      <w:tr w:rsidR="00CA326A" w:rsidRPr="00CA326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6A" w:rsidRPr="00CA326A" w:rsidRDefault="00CA326A" w:rsidP="00CA326A">
            <w:pPr>
              <w:spacing w:after="0" w:line="240" w:lineRule="auto"/>
              <w:ind w:left="1230" w:firstLine="88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32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1,875</w:t>
            </w:r>
          </w:p>
        </w:tc>
      </w:tr>
    </w:tbl>
    <w:p w:rsidR="00CA326A" w:rsidRPr="00CA326A" w:rsidRDefault="00CA326A" w:rsidP="00CA326A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CA326A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CA326A" w:rsidRPr="00CA326A" w:rsidRDefault="00CA326A" w:rsidP="00CA32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CA32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mlerini Bankac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zenleme ve Denetleme Kurumu Ba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A326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A326A" w:rsidRPr="00CA326A" w:rsidRDefault="00CA326A" w:rsidP="00CA32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CA326A" w:rsidRDefault="00CA326A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CA326A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EE7" w:rsidRDefault="00424EE7" w:rsidP="00CE6B7C">
      <w:pPr>
        <w:spacing w:after="0" w:line="240" w:lineRule="auto"/>
      </w:pPr>
      <w:r>
        <w:separator/>
      </w:r>
    </w:p>
  </w:endnote>
  <w:endnote w:type="continuationSeparator" w:id="0">
    <w:p w:rsidR="00424EE7" w:rsidRDefault="00424EE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D3E21">
        <w:pPr>
          <w:pStyle w:val="Altbilgi"/>
          <w:jc w:val="center"/>
        </w:pPr>
        <w:fldSimple w:instr=" PAGE   \* MERGEFORMAT ">
          <w:r w:rsidR="00CA326A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EE7" w:rsidRDefault="00424EE7" w:rsidP="00CE6B7C">
      <w:pPr>
        <w:spacing w:after="0" w:line="240" w:lineRule="auto"/>
      </w:pPr>
      <w:r>
        <w:separator/>
      </w:r>
    </w:p>
  </w:footnote>
  <w:footnote w:type="continuationSeparator" w:id="0">
    <w:p w:rsidR="00424EE7" w:rsidRDefault="00424EE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3C0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A38"/>
    <w:rsid w:val="00C45C78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B37EF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E7C96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1293</Words>
  <Characters>7372</Characters>
  <Application>Microsoft Office Word</Application>
  <DocSecurity>0</DocSecurity>
  <Lines>61</Lines>
  <Paragraphs>17</Paragraphs>
  <ScaleCrop>false</ScaleCrop>
  <Company>TURMOB</Company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339</cp:revision>
  <cp:lastPrinted>2013-10-10T07:17:00Z</cp:lastPrinted>
  <dcterms:created xsi:type="dcterms:W3CDTF">2013-06-03T05:31:00Z</dcterms:created>
  <dcterms:modified xsi:type="dcterms:W3CDTF">2013-11-05T06:25:00Z</dcterms:modified>
</cp:coreProperties>
</file>