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A3510" w:rsidRDefault="00B35404" w:rsidP="00FA3510">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14</w:t>
      </w:r>
      <w:r w:rsidR="006F57CB" w:rsidRPr="00FA3510">
        <w:rPr>
          <w:rFonts w:ascii="Times New Roman" w:hAnsi="Times New Roman" w:cs="Times New Roman"/>
          <w:b/>
          <w:sz w:val="20"/>
          <w:szCs w:val="20"/>
          <w:u w:val="single"/>
        </w:rPr>
        <w:t xml:space="preserve"> Kasım</w:t>
      </w:r>
      <w:r w:rsidR="00802E28" w:rsidRPr="00FA3510">
        <w:rPr>
          <w:rFonts w:ascii="Times New Roman" w:hAnsi="Times New Roman" w:cs="Times New Roman"/>
          <w:b/>
          <w:sz w:val="20"/>
          <w:szCs w:val="20"/>
          <w:u w:val="single"/>
        </w:rPr>
        <w:t xml:space="preserve"> 2013,</w:t>
      </w:r>
      <w:r w:rsidR="000370C9" w:rsidRPr="00FA3510">
        <w:rPr>
          <w:rFonts w:ascii="Times New Roman" w:hAnsi="Times New Roman" w:cs="Times New Roman"/>
          <w:b/>
          <w:sz w:val="20"/>
          <w:szCs w:val="20"/>
          <w:u w:val="single"/>
        </w:rPr>
        <w:t xml:space="preserve"> </w:t>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0370C9" w:rsidRPr="00FA3510">
        <w:rPr>
          <w:rFonts w:ascii="Times New Roman" w:hAnsi="Times New Roman" w:cs="Times New Roman"/>
          <w:b/>
          <w:sz w:val="20"/>
          <w:szCs w:val="20"/>
          <w:u w:val="single"/>
        </w:rPr>
        <w:tab/>
      </w:r>
      <w:r w:rsidR="002950D7" w:rsidRPr="00FA3510">
        <w:rPr>
          <w:rFonts w:ascii="Times New Roman" w:hAnsi="Times New Roman" w:cs="Times New Roman"/>
          <w:b/>
          <w:sz w:val="20"/>
          <w:szCs w:val="20"/>
          <w:u w:val="single"/>
        </w:rPr>
        <w:tab/>
      </w:r>
      <w:r w:rsidR="00BF2F3F" w:rsidRPr="00FA3510">
        <w:rPr>
          <w:rFonts w:ascii="Times New Roman" w:hAnsi="Times New Roman" w:cs="Times New Roman"/>
          <w:b/>
          <w:sz w:val="20"/>
          <w:szCs w:val="20"/>
          <w:u w:val="single"/>
        </w:rPr>
        <w:tab/>
        <w:t xml:space="preserve">           </w:t>
      </w:r>
      <w:r w:rsidR="00C750C0" w:rsidRPr="00FA3510">
        <w:rPr>
          <w:rFonts w:ascii="Times New Roman" w:hAnsi="Times New Roman" w:cs="Times New Roman"/>
          <w:b/>
          <w:sz w:val="20"/>
          <w:szCs w:val="20"/>
          <w:u w:val="single"/>
        </w:rPr>
        <w:t xml:space="preserve"> </w:t>
      </w:r>
      <w:r w:rsidR="005A4F7F" w:rsidRPr="00FA3510">
        <w:rPr>
          <w:rFonts w:ascii="Times New Roman" w:hAnsi="Times New Roman" w:cs="Times New Roman"/>
          <w:b/>
          <w:sz w:val="20"/>
          <w:szCs w:val="20"/>
          <w:u w:val="single"/>
        </w:rPr>
        <w:t xml:space="preserve"> </w:t>
      </w:r>
      <w:r w:rsidR="00617B09" w:rsidRPr="00FA3510">
        <w:rPr>
          <w:rFonts w:ascii="Times New Roman" w:hAnsi="Times New Roman" w:cs="Times New Roman"/>
          <w:b/>
          <w:sz w:val="20"/>
          <w:szCs w:val="20"/>
          <w:u w:val="single"/>
        </w:rPr>
        <w:t xml:space="preserve">    </w:t>
      </w:r>
      <w:r w:rsidR="005A4F7F" w:rsidRPr="00FA3510">
        <w:rPr>
          <w:rFonts w:ascii="Times New Roman" w:hAnsi="Times New Roman" w:cs="Times New Roman"/>
          <w:b/>
          <w:sz w:val="20"/>
          <w:szCs w:val="20"/>
          <w:u w:val="single"/>
        </w:rPr>
        <w:t xml:space="preserve">    </w:t>
      </w:r>
      <w:r w:rsidR="00C750C0" w:rsidRPr="00FA3510">
        <w:rPr>
          <w:rFonts w:ascii="Times New Roman" w:hAnsi="Times New Roman" w:cs="Times New Roman"/>
          <w:b/>
          <w:sz w:val="20"/>
          <w:szCs w:val="20"/>
          <w:u w:val="single"/>
        </w:rPr>
        <w:t xml:space="preserve"> </w:t>
      </w:r>
      <w:r w:rsidR="00C64C84" w:rsidRPr="00FA3510">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28821</w:t>
      </w:r>
      <w:proofErr w:type="gramEnd"/>
    </w:p>
    <w:p w:rsidR="00D737E9" w:rsidRDefault="00D737E9" w:rsidP="00FA3510">
      <w:pPr>
        <w:spacing w:after="0" w:line="280" w:lineRule="atLeast"/>
        <w:jc w:val="both"/>
        <w:rPr>
          <w:rFonts w:ascii="Times New Roman" w:hAnsi="Times New Roman" w:cs="Times New Roman"/>
          <w:sz w:val="20"/>
          <w:szCs w:val="20"/>
        </w:rPr>
      </w:pPr>
    </w:p>
    <w:p w:rsidR="00B35404" w:rsidRDefault="00B35404" w:rsidP="00B35404">
      <w:pPr>
        <w:pStyle w:val="1-Baslk"/>
        <w:spacing w:line="240" w:lineRule="exact"/>
        <w:ind w:firstLine="566"/>
        <w:rPr>
          <w:rFonts w:hAnsi="Times New Roman"/>
          <w:sz w:val="18"/>
          <w:szCs w:val="18"/>
        </w:rPr>
      </w:pPr>
      <w:r>
        <w:rPr>
          <w:rFonts w:hAnsi="Times New Roman"/>
          <w:sz w:val="18"/>
          <w:szCs w:val="18"/>
        </w:rPr>
        <w:t>Türkiye İlaç ve Tıbbi Cihaz Kurumundan:</w:t>
      </w:r>
    </w:p>
    <w:p w:rsidR="00B35404" w:rsidRDefault="00B35404" w:rsidP="00B35404">
      <w:pPr>
        <w:pStyle w:val="1-Baslk"/>
        <w:spacing w:line="240" w:lineRule="exact"/>
        <w:ind w:firstLine="566"/>
        <w:rPr>
          <w:rFonts w:hAnsi="Times New Roman"/>
          <w:sz w:val="18"/>
          <w:szCs w:val="18"/>
        </w:rPr>
      </w:pPr>
    </w:p>
    <w:p w:rsidR="00B35404" w:rsidRDefault="00B35404" w:rsidP="00B35404">
      <w:pPr>
        <w:pStyle w:val="2-OrtaBaslk"/>
        <w:spacing w:line="240" w:lineRule="exact"/>
        <w:rPr>
          <w:rFonts w:hAnsi="Times New Roman"/>
          <w:sz w:val="18"/>
          <w:szCs w:val="18"/>
        </w:rPr>
      </w:pPr>
      <w:r>
        <w:rPr>
          <w:rFonts w:hAnsi="Times New Roman"/>
          <w:sz w:val="18"/>
          <w:szCs w:val="18"/>
        </w:rPr>
        <w:t>BEŞERİ TIBBİ ÜRÜNLER RUHSATLANDIRMA YÖNETMELİĞİNDE</w:t>
      </w:r>
    </w:p>
    <w:p w:rsidR="00B35404" w:rsidRDefault="00B35404" w:rsidP="00B35404">
      <w:pPr>
        <w:pStyle w:val="2-OrtaBaslk"/>
        <w:spacing w:line="240" w:lineRule="exact"/>
        <w:rPr>
          <w:rFonts w:hAnsi="Times New Roman"/>
          <w:sz w:val="18"/>
          <w:szCs w:val="18"/>
        </w:rPr>
      </w:pPr>
      <w:r>
        <w:rPr>
          <w:rFonts w:hAnsi="Times New Roman"/>
          <w:sz w:val="18"/>
          <w:szCs w:val="18"/>
        </w:rPr>
        <w:t>DEĞİŞİKLİK YAPILMASINA DAİR YÖNETMELİK</w:t>
      </w:r>
    </w:p>
    <w:p w:rsidR="00B35404" w:rsidRDefault="00B35404" w:rsidP="00B35404">
      <w:pPr>
        <w:pStyle w:val="2-OrtaBaslk"/>
        <w:spacing w:line="240" w:lineRule="exact"/>
        <w:rPr>
          <w:rFonts w:hAnsi="Times New Roman"/>
          <w:sz w:val="18"/>
          <w:szCs w:val="18"/>
        </w:rPr>
      </w:pPr>
    </w:p>
    <w:p w:rsidR="00B35404" w:rsidRDefault="00B35404" w:rsidP="00B35404">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19/1/2005</w:t>
      </w:r>
      <w:proofErr w:type="gramEnd"/>
      <w:r>
        <w:rPr>
          <w:rFonts w:hAnsi="Times New Roman"/>
          <w:sz w:val="18"/>
          <w:szCs w:val="18"/>
        </w:rPr>
        <w:t xml:space="preserve"> tarihli ve 25705 sayılı Resmî Gazete’de yayımlanan Beşeri Tıbbi Ürünler Ruhsatlandırma Yönetmeliğinin 3 üncü maddesinin birinci fıkrasında yer alan “23/6/1983 tarihli ve 2857 sayılı Kan ve Kan Ürünleri Kanununun 8 inci maddesine ve 13/12/1983 tarihli ve 181 sayılı Sağlık Bakanlığının Teşkilat ve Görevleri Hakkında Kanun Hükmünde Kararnamenin 43 üncü maddesine” ibaresi “11/4/2007 tarihli ve 5624 sayılı Kan ve Kan Ürünleri Kanununun 6 </w:t>
      </w:r>
      <w:proofErr w:type="spellStart"/>
      <w:r>
        <w:rPr>
          <w:rFonts w:hAnsi="Times New Roman"/>
          <w:sz w:val="18"/>
          <w:szCs w:val="18"/>
        </w:rPr>
        <w:t>ncı</w:t>
      </w:r>
      <w:proofErr w:type="spellEnd"/>
      <w:r>
        <w:rPr>
          <w:rFonts w:hAnsi="Times New Roman"/>
          <w:sz w:val="18"/>
          <w:szCs w:val="18"/>
        </w:rPr>
        <w:t xml:space="preserve"> maddesine ve 11/10/2011 tarihli ve 663 sayılı Sağlık Bakanlığı ve Bağlı Kuruluşlarının Teşkilat ve Görevleri Hakkında Kanun Hükmünde Kararnamenin 27 </w:t>
      </w:r>
      <w:proofErr w:type="spellStart"/>
      <w:r>
        <w:rPr>
          <w:rFonts w:hAnsi="Times New Roman"/>
          <w:sz w:val="18"/>
          <w:szCs w:val="18"/>
        </w:rPr>
        <w:t>nci</w:t>
      </w:r>
      <w:proofErr w:type="spellEnd"/>
      <w:r>
        <w:rPr>
          <w:rFonts w:hAnsi="Times New Roman"/>
          <w:sz w:val="18"/>
          <w:szCs w:val="18"/>
        </w:rPr>
        <w:t xml:space="preserve"> maddesine” olarak değiştirilmiştir</w:t>
      </w:r>
    </w:p>
    <w:p w:rsidR="00B35404" w:rsidRDefault="00B35404" w:rsidP="00B35404">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4 üncü maddesinin birinci fıkrasının (y) bendi aşağıdaki şekilde değiştirilmiştir.</w:t>
      </w:r>
    </w:p>
    <w:p w:rsidR="00B35404" w:rsidRDefault="00B35404" w:rsidP="00B35404">
      <w:pPr>
        <w:pStyle w:val="3-NormalYaz"/>
        <w:spacing w:line="240" w:lineRule="exact"/>
        <w:ind w:firstLine="566"/>
        <w:rPr>
          <w:rFonts w:hAnsi="Times New Roman"/>
          <w:sz w:val="18"/>
          <w:szCs w:val="18"/>
        </w:rPr>
      </w:pPr>
      <w:r>
        <w:rPr>
          <w:rFonts w:hAnsi="Times New Roman"/>
          <w:sz w:val="18"/>
          <w:szCs w:val="18"/>
        </w:rPr>
        <w:t xml:space="preserve">“y) Jenerik tıbbi ürün: Etkin maddeler açısından orijinal tıbbi ürün ile aynı </w:t>
      </w:r>
      <w:proofErr w:type="gramStart"/>
      <w:r>
        <w:rPr>
          <w:rFonts w:hAnsi="Times New Roman"/>
          <w:sz w:val="18"/>
          <w:szCs w:val="18"/>
        </w:rPr>
        <w:t>kalitatif</w:t>
      </w:r>
      <w:proofErr w:type="gramEnd"/>
      <w:r>
        <w:rPr>
          <w:rFonts w:hAnsi="Times New Roman"/>
          <w:sz w:val="18"/>
          <w:szCs w:val="18"/>
        </w:rPr>
        <w:t xml:space="preserve"> ve kantitatif terkibe ve aynı </w:t>
      </w:r>
      <w:proofErr w:type="spellStart"/>
      <w:r>
        <w:rPr>
          <w:rFonts w:hAnsi="Times New Roman"/>
          <w:sz w:val="18"/>
          <w:szCs w:val="18"/>
        </w:rPr>
        <w:t>farmasötik</w:t>
      </w:r>
      <w:proofErr w:type="spellEnd"/>
      <w:r>
        <w:rPr>
          <w:rFonts w:hAnsi="Times New Roman"/>
          <w:sz w:val="18"/>
          <w:szCs w:val="18"/>
        </w:rPr>
        <w:t xml:space="preserve"> forma sahip olan ve orijinal tıbbi ürün ile </w:t>
      </w:r>
      <w:proofErr w:type="spellStart"/>
      <w:r>
        <w:rPr>
          <w:rFonts w:hAnsi="Times New Roman"/>
          <w:sz w:val="18"/>
          <w:szCs w:val="18"/>
        </w:rPr>
        <w:t>biyoeşdeğerliliğinin</w:t>
      </w:r>
      <w:proofErr w:type="spellEnd"/>
      <w:r>
        <w:rPr>
          <w:rFonts w:hAnsi="Times New Roman"/>
          <w:sz w:val="18"/>
          <w:szCs w:val="18"/>
        </w:rPr>
        <w:t xml:space="preserve"> uygun </w:t>
      </w:r>
      <w:proofErr w:type="spellStart"/>
      <w:r>
        <w:rPr>
          <w:rFonts w:hAnsi="Times New Roman"/>
          <w:sz w:val="18"/>
          <w:szCs w:val="18"/>
        </w:rPr>
        <w:t>biyoyararlanım</w:t>
      </w:r>
      <w:proofErr w:type="spellEnd"/>
      <w:r>
        <w:rPr>
          <w:rFonts w:hAnsi="Times New Roman"/>
          <w:sz w:val="18"/>
          <w:szCs w:val="18"/>
        </w:rPr>
        <w:t xml:space="preserve"> çalışmaları ile kanıtlandığı tıbbi ürün, (Bir etkin maddenin farklı tuzları, esterleri, eterleri, izomerleri, izomer karışımları, kompleksleri ve türevleri, güvenlilik ve/veya etkinlik açısından özellikleri belirgin şekilde farklı olmadığı sürece etkin madde ile aynı kabul edilirler. Böyle durumlarda, ruhsatlanmış etkin maddenin farklı tuzlarının, esterlerinin ya da türevlerinin güvenliliği ve/veya etkinliğinin kanıtlanması için ilave bilgiler başvuru sahibi tarafından sunulur. Çeşitli hızlı </w:t>
      </w:r>
      <w:proofErr w:type="spellStart"/>
      <w:r>
        <w:rPr>
          <w:rFonts w:hAnsi="Times New Roman"/>
          <w:sz w:val="18"/>
          <w:szCs w:val="18"/>
        </w:rPr>
        <w:t>salımlı</w:t>
      </w:r>
      <w:proofErr w:type="spellEnd"/>
      <w:r>
        <w:rPr>
          <w:rFonts w:hAnsi="Times New Roman"/>
          <w:sz w:val="18"/>
          <w:szCs w:val="18"/>
        </w:rPr>
        <w:t xml:space="preserve"> oral </w:t>
      </w:r>
      <w:proofErr w:type="spellStart"/>
      <w:r>
        <w:rPr>
          <w:rFonts w:hAnsi="Times New Roman"/>
          <w:sz w:val="18"/>
          <w:szCs w:val="18"/>
        </w:rPr>
        <w:t>farmasötik</w:t>
      </w:r>
      <w:proofErr w:type="spellEnd"/>
      <w:r>
        <w:rPr>
          <w:rFonts w:hAnsi="Times New Roman"/>
          <w:sz w:val="18"/>
          <w:szCs w:val="18"/>
        </w:rPr>
        <w:t xml:space="preserve"> formlar tek ve aynı </w:t>
      </w:r>
      <w:proofErr w:type="spellStart"/>
      <w:r>
        <w:rPr>
          <w:rFonts w:hAnsi="Times New Roman"/>
          <w:sz w:val="18"/>
          <w:szCs w:val="18"/>
        </w:rPr>
        <w:t>farmasötik</w:t>
      </w:r>
      <w:proofErr w:type="spellEnd"/>
      <w:r>
        <w:rPr>
          <w:rFonts w:hAnsi="Times New Roman"/>
          <w:sz w:val="18"/>
          <w:szCs w:val="18"/>
        </w:rPr>
        <w:t xml:space="preserve"> form olarak değerlendirilir. Başvuru sahibinin </w:t>
      </w:r>
      <w:proofErr w:type="gramStart"/>
      <w:r>
        <w:rPr>
          <w:rFonts w:hAnsi="Times New Roman"/>
          <w:sz w:val="18"/>
          <w:szCs w:val="18"/>
        </w:rPr>
        <w:t>jenerik</w:t>
      </w:r>
      <w:proofErr w:type="gramEnd"/>
      <w:r>
        <w:rPr>
          <w:rFonts w:hAnsi="Times New Roman"/>
          <w:sz w:val="18"/>
          <w:szCs w:val="18"/>
        </w:rPr>
        <w:t xml:space="preserve"> tıbbi ürünle ilgili ayrıntılı kılavuzlarda tanımlanan ilgili kriterleri yerine getirmesi durumunda </w:t>
      </w:r>
      <w:proofErr w:type="spellStart"/>
      <w:r>
        <w:rPr>
          <w:rFonts w:hAnsi="Times New Roman"/>
          <w:sz w:val="18"/>
          <w:szCs w:val="18"/>
        </w:rPr>
        <w:t>biyoyararlanım</w:t>
      </w:r>
      <w:proofErr w:type="spellEnd"/>
      <w:r>
        <w:rPr>
          <w:rFonts w:hAnsi="Times New Roman"/>
          <w:sz w:val="18"/>
          <w:szCs w:val="18"/>
        </w:rPr>
        <w:t xml:space="preserve"> çalışmaları sunmasına gerek yoktur.)”</w:t>
      </w:r>
    </w:p>
    <w:p w:rsidR="00B35404" w:rsidRDefault="00B35404" w:rsidP="00B35404">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15 inci maddesine aşağıdaki beşinci fıkra eklenmiştir.</w:t>
      </w:r>
    </w:p>
    <w:p w:rsidR="00B35404" w:rsidRDefault="00B35404" w:rsidP="00B35404">
      <w:pPr>
        <w:pStyle w:val="3-NormalYaz"/>
        <w:spacing w:line="240" w:lineRule="exact"/>
        <w:ind w:firstLine="566"/>
        <w:rPr>
          <w:rFonts w:hAnsi="Times New Roman"/>
          <w:sz w:val="18"/>
          <w:szCs w:val="18"/>
        </w:rPr>
      </w:pPr>
      <w:r>
        <w:rPr>
          <w:rFonts w:hAnsi="Times New Roman"/>
          <w:sz w:val="18"/>
          <w:szCs w:val="18"/>
        </w:rPr>
        <w:t>“Bakanlıkça bu maddeye göre eksik bilgi belgelerin tamamlanmasının istenildiği durumlarda belirtilen eksiklikler başvuru sahibi tarafından bir yıl içerisinde giderilmediği ya da başvuru sahibi tarafından bu süre içerisinde herhangi bir işlem yapılmadığı takdirde dosya işlemden kaldırılarak iade edilir.”</w:t>
      </w:r>
    </w:p>
    <w:p w:rsidR="00B35404" w:rsidRDefault="00B35404" w:rsidP="00B35404">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22 </w:t>
      </w:r>
      <w:proofErr w:type="spellStart"/>
      <w:r>
        <w:rPr>
          <w:rFonts w:hAnsi="Times New Roman"/>
          <w:sz w:val="18"/>
          <w:szCs w:val="18"/>
        </w:rPr>
        <w:t>nci</w:t>
      </w:r>
      <w:proofErr w:type="spellEnd"/>
      <w:r>
        <w:rPr>
          <w:rFonts w:hAnsi="Times New Roman"/>
          <w:sz w:val="18"/>
          <w:szCs w:val="18"/>
        </w:rPr>
        <w:t xml:space="preserve"> maddesinin birinci fıkrasının (j) bendi aşağıdaki şekilde değiştirilmiştir.</w:t>
      </w:r>
    </w:p>
    <w:p w:rsidR="00B35404" w:rsidRDefault="00B35404" w:rsidP="00B35404">
      <w:pPr>
        <w:pStyle w:val="3-NormalYaz"/>
        <w:spacing w:line="240" w:lineRule="exact"/>
        <w:ind w:firstLine="566"/>
        <w:rPr>
          <w:rFonts w:hAnsi="Times New Roman"/>
          <w:sz w:val="18"/>
          <w:szCs w:val="18"/>
        </w:rPr>
      </w:pPr>
      <w:r>
        <w:rPr>
          <w:rFonts w:hAnsi="Times New Roman"/>
          <w:sz w:val="18"/>
          <w:szCs w:val="18"/>
        </w:rPr>
        <w:t>“j) Ruhsat verilmiş bir tıbbi ürünün ruhsatlandırıldıktan sonra üç yıl içinde fiili olarak pazara sunulmaması veya daha önce pazara sunulmuş olan ruhsatlı bir ürünün kesintisiz bir yıl boyunca pazarda mevcut olmaması,”</w:t>
      </w:r>
    </w:p>
    <w:p w:rsidR="00B35404" w:rsidRDefault="00B35404" w:rsidP="00B35404">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23 üncü maddesi aşağıdaki şekilde değiştirilmiştir.</w:t>
      </w:r>
    </w:p>
    <w:p w:rsidR="00B35404" w:rsidRDefault="00B35404" w:rsidP="00B35404">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Madde 23 –</w:t>
      </w:r>
      <w:r>
        <w:rPr>
          <w:rFonts w:hAnsi="Times New Roman"/>
          <w:sz w:val="18"/>
          <w:szCs w:val="18"/>
        </w:rPr>
        <w:t xml:space="preserve"> 22 </w:t>
      </w:r>
      <w:proofErr w:type="spellStart"/>
      <w:r>
        <w:rPr>
          <w:rFonts w:hAnsi="Times New Roman"/>
          <w:sz w:val="18"/>
          <w:szCs w:val="18"/>
        </w:rPr>
        <w:t>nci</w:t>
      </w:r>
      <w:proofErr w:type="spellEnd"/>
      <w:r>
        <w:rPr>
          <w:rFonts w:hAnsi="Times New Roman"/>
          <w:sz w:val="18"/>
          <w:szCs w:val="18"/>
        </w:rPr>
        <w:t xml:space="preserve"> maddede sayılan hallerden biri veya birkaçı sebebiyle ruhsatı askıya alınan ürünler hakkında ruhsat sahibi tarafından en geç altı ay içinde askıya alınma gerekçesinin aksini ispatlayan bilgi ve belgelerin sunulmaması halinde ürün için verilmiş olan ruhsat iptal edilir.</w:t>
      </w:r>
    </w:p>
    <w:p w:rsidR="00B35404" w:rsidRDefault="00B35404" w:rsidP="00B35404">
      <w:pPr>
        <w:pStyle w:val="3-NormalYaz"/>
        <w:spacing w:line="240" w:lineRule="exact"/>
        <w:ind w:firstLine="566"/>
        <w:rPr>
          <w:rFonts w:hAnsi="Times New Roman"/>
          <w:sz w:val="18"/>
          <w:szCs w:val="18"/>
        </w:rPr>
      </w:pPr>
      <w:r>
        <w:rPr>
          <w:rFonts w:hAnsi="Times New Roman"/>
          <w:sz w:val="18"/>
          <w:szCs w:val="18"/>
        </w:rPr>
        <w:t>Ruhsat sahibinin vazgeçmesi halinde ruhsat askıya alınarak bir yıl süre ile Kurumun internet sayfasında ilân edilir. Bir yıllık süre sonunda herhangi bir devir işlemi yapılmaması durumunda ruhsat iptal edilir.</w:t>
      </w:r>
    </w:p>
    <w:p w:rsidR="00B35404" w:rsidRDefault="00B35404" w:rsidP="00B35404">
      <w:pPr>
        <w:pStyle w:val="3-NormalYaz"/>
        <w:spacing w:line="240" w:lineRule="exact"/>
        <w:ind w:firstLine="566"/>
        <w:rPr>
          <w:rFonts w:hAnsi="Times New Roman"/>
          <w:sz w:val="18"/>
          <w:szCs w:val="18"/>
        </w:rPr>
      </w:pPr>
      <w:r>
        <w:rPr>
          <w:rFonts w:hAnsi="Times New Roman"/>
          <w:sz w:val="18"/>
          <w:szCs w:val="18"/>
        </w:rPr>
        <w:t>Ruhsatı iptal edilen bir ürünün üretimi veya ithali durdurulur. Dağıtımda ve satışta olan ürünler hakkındaki karar, ruhsatın iptal gerekçesi dikkate alınarak Bakanlıkça verilir.</w:t>
      </w:r>
    </w:p>
    <w:p w:rsidR="00B35404" w:rsidRDefault="00B35404" w:rsidP="00B35404">
      <w:pPr>
        <w:pStyle w:val="3-NormalYaz"/>
        <w:spacing w:line="240" w:lineRule="exact"/>
        <w:ind w:firstLine="566"/>
        <w:rPr>
          <w:rFonts w:hAnsi="Times New Roman"/>
          <w:sz w:val="18"/>
          <w:szCs w:val="18"/>
        </w:rPr>
      </w:pPr>
      <w:r>
        <w:rPr>
          <w:rFonts w:hAnsi="Times New Roman"/>
          <w:sz w:val="18"/>
          <w:szCs w:val="18"/>
        </w:rPr>
        <w:t>Bakanlıkça ruhsatları iptal edilen ürünlerin isimleri, ruhsat sahibinin adı, soyadı ve ruhsat numaraları ile birlikte Resmî Gazete’de ilan edilir.”</w:t>
      </w:r>
    </w:p>
    <w:p w:rsidR="00B35404" w:rsidRDefault="00B35404" w:rsidP="00B35404">
      <w:pPr>
        <w:pStyle w:val="3-NormalYaz"/>
        <w:spacing w:line="240" w:lineRule="exact"/>
        <w:ind w:firstLine="566"/>
        <w:rPr>
          <w:rFonts w:hAnsi="Times New Roman"/>
          <w:sz w:val="18"/>
          <w:szCs w:val="18"/>
        </w:rPr>
      </w:pPr>
      <w:r>
        <w:rPr>
          <w:rFonts w:hAnsi="Times New Roman"/>
          <w:b/>
          <w:sz w:val="18"/>
          <w:szCs w:val="18"/>
        </w:rPr>
        <w:t xml:space="preserve">MADDE </w:t>
      </w:r>
      <w:proofErr w:type="gramStart"/>
      <w:r>
        <w:rPr>
          <w:rFonts w:hAnsi="Times New Roman"/>
          <w:b/>
          <w:sz w:val="18"/>
          <w:szCs w:val="18"/>
        </w:rPr>
        <w:t>6 ,</w:t>
      </w:r>
      <w:r>
        <w:rPr>
          <w:rFonts w:hAnsi="Times New Roman"/>
          <w:sz w:val="18"/>
          <w:szCs w:val="18"/>
        </w:rPr>
        <w:t xml:space="preserve"> Aynı</w:t>
      </w:r>
      <w:proofErr w:type="gramEnd"/>
      <w:r>
        <w:rPr>
          <w:rFonts w:hAnsi="Times New Roman"/>
          <w:sz w:val="18"/>
          <w:szCs w:val="18"/>
        </w:rPr>
        <w:t xml:space="preserve"> Yönetmeliğin 32 </w:t>
      </w:r>
      <w:proofErr w:type="spellStart"/>
      <w:r>
        <w:rPr>
          <w:rFonts w:hAnsi="Times New Roman"/>
          <w:sz w:val="18"/>
          <w:szCs w:val="18"/>
        </w:rPr>
        <w:t>nci</w:t>
      </w:r>
      <w:proofErr w:type="spellEnd"/>
      <w:r>
        <w:rPr>
          <w:rFonts w:hAnsi="Times New Roman"/>
          <w:sz w:val="18"/>
          <w:szCs w:val="18"/>
        </w:rPr>
        <w:t xml:space="preserve"> maddesi aşağıdaki şekilde değiştirilmiştir.</w:t>
      </w:r>
    </w:p>
    <w:p w:rsidR="00B35404" w:rsidRDefault="00B35404" w:rsidP="00B35404">
      <w:pPr>
        <w:pStyle w:val="3-NormalYaz"/>
        <w:spacing w:line="240" w:lineRule="exact"/>
        <w:ind w:firstLine="566"/>
        <w:rPr>
          <w:rFonts w:hAnsi="Times New Roman"/>
          <w:sz w:val="18"/>
          <w:szCs w:val="18"/>
        </w:rPr>
      </w:pPr>
      <w:r>
        <w:rPr>
          <w:rFonts w:hAnsi="Times New Roman"/>
          <w:sz w:val="18"/>
          <w:szCs w:val="18"/>
        </w:rPr>
        <w:t>“</w:t>
      </w:r>
      <w:r>
        <w:rPr>
          <w:rFonts w:hAnsi="Times New Roman"/>
          <w:b/>
          <w:sz w:val="18"/>
          <w:szCs w:val="18"/>
        </w:rPr>
        <w:t>Madde 32 –</w:t>
      </w:r>
      <w:r>
        <w:rPr>
          <w:rFonts w:hAnsi="Times New Roman"/>
          <w:sz w:val="18"/>
          <w:szCs w:val="18"/>
        </w:rPr>
        <w:t xml:space="preserve"> Bu Yönetmelik hükümlerini Türkiye İlaç ve Tıbbi Cihaz Kurumu Başkanı yürütür.”</w:t>
      </w:r>
    </w:p>
    <w:p w:rsidR="00B35404" w:rsidRDefault="00B35404" w:rsidP="00B35404">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Bu Yönetmelik yayımı tarihinde yürürlüğe girer.</w:t>
      </w:r>
    </w:p>
    <w:p w:rsidR="00B35404" w:rsidRDefault="00B35404" w:rsidP="00B35404">
      <w:pPr>
        <w:pStyle w:val="3-NormalYaz"/>
        <w:spacing w:line="240" w:lineRule="exact"/>
        <w:ind w:firstLine="566"/>
        <w:rPr>
          <w:rStyle w:val="Normal1"/>
          <w:rFonts w:eastAsia="ヒラギノ明朝Pro W3"/>
          <w:sz w:val="18"/>
          <w:lang w:val="tr-TR"/>
        </w:rPr>
      </w:pPr>
      <w:r>
        <w:rPr>
          <w:rFonts w:hAnsi="Times New Roman"/>
          <w:b/>
          <w:sz w:val="18"/>
          <w:szCs w:val="18"/>
        </w:rPr>
        <w:t>MADDE 8 –</w:t>
      </w:r>
      <w:r>
        <w:rPr>
          <w:rFonts w:hAnsi="Times New Roman"/>
          <w:sz w:val="18"/>
          <w:szCs w:val="18"/>
        </w:rPr>
        <w:t xml:space="preserve"> Bu Yönetmelik hükümlerini Türkiye İlaç ve Tıbbi Cihaz Kurumu Başkanı yürütür.</w:t>
      </w:r>
    </w:p>
    <w:p w:rsidR="00B35404" w:rsidRPr="00FA3510" w:rsidRDefault="00B35404" w:rsidP="00FA3510">
      <w:pPr>
        <w:spacing w:after="0" w:line="280" w:lineRule="atLeast"/>
        <w:jc w:val="both"/>
        <w:rPr>
          <w:rFonts w:ascii="Times New Roman" w:hAnsi="Times New Roman" w:cs="Times New Roman"/>
          <w:sz w:val="20"/>
          <w:szCs w:val="20"/>
        </w:rPr>
      </w:pPr>
    </w:p>
    <w:sectPr w:rsidR="00B35404" w:rsidRPr="00FA351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46C" w:rsidRDefault="007B246C" w:rsidP="00CE6B7C">
      <w:pPr>
        <w:spacing w:after="0" w:line="240" w:lineRule="auto"/>
      </w:pPr>
      <w:r>
        <w:separator/>
      </w:r>
    </w:p>
  </w:endnote>
  <w:endnote w:type="continuationSeparator" w:id="0">
    <w:p w:rsidR="007B246C" w:rsidRDefault="007B246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E2C89">
        <w:pPr>
          <w:pStyle w:val="Altbilgi"/>
          <w:jc w:val="center"/>
        </w:pPr>
        <w:fldSimple w:instr=" PAGE   \* MERGEFORMAT ">
          <w:r w:rsidR="00B3540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46C" w:rsidRDefault="007B246C" w:rsidP="00CE6B7C">
      <w:pPr>
        <w:spacing w:after="0" w:line="240" w:lineRule="auto"/>
      </w:pPr>
      <w:r>
        <w:separator/>
      </w:r>
    </w:p>
  </w:footnote>
  <w:footnote w:type="continuationSeparator" w:id="0">
    <w:p w:rsidR="007B246C" w:rsidRDefault="007B246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3402"/>
    <w:rsid w:val="00067394"/>
    <w:rsid w:val="00067F96"/>
    <w:rsid w:val="00072E93"/>
    <w:rsid w:val="00073B7C"/>
    <w:rsid w:val="000770E5"/>
    <w:rsid w:val="0008602A"/>
    <w:rsid w:val="0009062B"/>
    <w:rsid w:val="0009553A"/>
    <w:rsid w:val="00096CE0"/>
    <w:rsid w:val="00097FB1"/>
    <w:rsid w:val="000B4DEA"/>
    <w:rsid w:val="000B5A38"/>
    <w:rsid w:val="000D0A63"/>
    <w:rsid w:val="000D7DBE"/>
    <w:rsid w:val="000E33C0"/>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83265"/>
    <w:rsid w:val="002950D7"/>
    <w:rsid w:val="00295833"/>
    <w:rsid w:val="00296147"/>
    <w:rsid w:val="002A75FB"/>
    <w:rsid w:val="002C3A77"/>
    <w:rsid w:val="002E5634"/>
    <w:rsid w:val="002E5D32"/>
    <w:rsid w:val="002F2161"/>
    <w:rsid w:val="003008ED"/>
    <w:rsid w:val="00310580"/>
    <w:rsid w:val="0031216B"/>
    <w:rsid w:val="0033048D"/>
    <w:rsid w:val="003320DC"/>
    <w:rsid w:val="00332167"/>
    <w:rsid w:val="00335ADD"/>
    <w:rsid w:val="003364E7"/>
    <w:rsid w:val="00343403"/>
    <w:rsid w:val="00347531"/>
    <w:rsid w:val="0036137D"/>
    <w:rsid w:val="00361C6C"/>
    <w:rsid w:val="00364973"/>
    <w:rsid w:val="003670F6"/>
    <w:rsid w:val="003756F6"/>
    <w:rsid w:val="0038076F"/>
    <w:rsid w:val="00384FF4"/>
    <w:rsid w:val="00387FC2"/>
    <w:rsid w:val="0039041C"/>
    <w:rsid w:val="003A50CF"/>
    <w:rsid w:val="003B147D"/>
    <w:rsid w:val="003D6DB0"/>
    <w:rsid w:val="003E1DD7"/>
    <w:rsid w:val="003E36BC"/>
    <w:rsid w:val="003F0A2F"/>
    <w:rsid w:val="003F0E00"/>
    <w:rsid w:val="003F26E6"/>
    <w:rsid w:val="003F7E0A"/>
    <w:rsid w:val="004017F5"/>
    <w:rsid w:val="00404668"/>
    <w:rsid w:val="00411676"/>
    <w:rsid w:val="004155DE"/>
    <w:rsid w:val="0042045E"/>
    <w:rsid w:val="004239D0"/>
    <w:rsid w:val="00424075"/>
    <w:rsid w:val="00424401"/>
    <w:rsid w:val="00424EE7"/>
    <w:rsid w:val="004412EB"/>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D3E0D"/>
    <w:rsid w:val="004E2415"/>
    <w:rsid w:val="004E2C89"/>
    <w:rsid w:val="004E3D3E"/>
    <w:rsid w:val="004E6A6B"/>
    <w:rsid w:val="004F1E1E"/>
    <w:rsid w:val="004F7EAB"/>
    <w:rsid w:val="00500FD6"/>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A426C"/>
    <w:rsid w:val="005A4F7F"/>
    <w:rsid w:val="005A5250"/>
    <w:rsid w:val="005A6CA4"/>
    <w:rsid w:val="005B1FD0"/>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7BFC"/>
    <w:rsid w:val="00672F9D"/>
    <w:rsid w:val="00674DC0"/>
    <w:rsid w:val="0068036F"/>
    <w:rsid w:val="00681EAF"/>
    <w:rsid w:val="006848FA"/>
    <w:rsid w:val="00692FDE"/>
    <w:rsid w:val="00693FC2"/>
    <w:rsid w:val="006A4A01"/>
    <w:rsid w:val="006B037C"/>
    <w:rsid w:val="006B04AF"/>
    <w:rsid w:val="006C0014"/>
    <w:rsid w:val="006C00B8"/>
    <w:rsid w:val="006C09BF"/>
    <w:rsid w:val="006E2836"/>
    <w:rsid w:val="006E4E20"/>
    <w:rsid w:val="006F57CB"/>
    <w:rsid w:val="007025D2"/>
    <w:rsid w:val="007059A2"/>
    <w:rsid w:val="007114EF"/>
    <w:rsid w:val="007171B2"/>
    <w:rsid w:val="00717411"/>
    <w:rsid w:val="0072024B"/>
    <w:rsid w:val="0072766F"/>
    <w:rsid w:val="007309FF"/>
    <w:rsid w:val="00733257"/>
    <w:rsid w:val="00735829"/>
    <w:rsid w:val="007420E4"/>
    <w:rsid w:val="00744D80"/>
    <w:rsid w:val="00744E83"/>
    <w:rsid w:val="0074650B"/>
    <w:rsid w:val="00765CA5"/>
    <w:rsid w:val="007708A4"/>
    <w:rsid w:val="00771994"/>
    <w:rsid w:val="00781196"/>
    <w:rsid w:val="007819EA"/>
    <w:rsid w:val="007835EC"/>
    <w:rsid w:val="007B246C"/>
    <w:rsid w:val="007C55B8"/>
    <w:rsid w:val="007C6B47"/>
    <w:rsid w:val="007D042A"/>
    <w:rsid w:val="007D4F0A"/>
    <w:rsid w:val="007E5254"/>
    <w:rsid w:val="007E5497"/>
    <w:rsid w:val="007F0D95"/>
    <w:rsid w:val="007F73A7"/>
    <w:rsid w:val="00800577"/>
    <w:rsid w:val="00802E28"/>
    <w:rsid w:val="0080543D"/>
    <w:rsid w:val="00805C26"/>
    <w:rsid w:val="008165E0"/>
    <w:rsid w:val="008320C3"/>
    <w:rsid w:val="008332C5"/>
    <w:rsid w:val="008347E5"/>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A39D8"/>
    <w:rsid w:val="008B6984"/>
    <w:rsid w:val="008C25B5"/>
    <w:rsid w:val="008C3C93"/>
    <w:rsid w:val="008D4F81"/>
    <w:rsid w:val="008D6AFF"/>
    <w:rsid w:val="008E0435"/>
    <w:rsid w:val="008E2DD9"/>
    <w:rsid w:val="008E3EA9"/>
    <w:rsid w:val="008E6D17"/>
    <w:rsid w:val="0090323C"/>
    <w:rsid w:val="00904273"/>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62D7F"/>
    <w:rsid w:val="00A7418B"/>
    <w:rsid w:val="00A854B5"/>
    <w:rsid w:val="00A904D7"/>
    <w:rsid w:val="00AA786A"/>
    <w:rsid w:val="00AB21EA"/>
    <w:rsid w:val="00AB2A0A"/>
    <w:rsid w:val="00AB363B"/>
    <w:rsid w:val="00AC0A86"/>
    <w:rsid w:val="00AC4286"/>
    <w:rsid w:val="00AD069C"/>
    <w:rsid w:val="00AE324F"/>
    <w:rsid w:val="00AF4CAE"/>
    <w:rsid w:val="00AF513B"/>
    <w:rsid w:val="00AF740D"/>
    <w:rsid w:val="00B0020B"/>
    <w:rsid w:val="00B0067B"/>
    <w:rsid w:val="00B0468E"/>
    <w:rsid w:val="00B11978"/>
    <w:rsid w:val="00B159E5"/>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040D"/>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A326A"/>
    <w:rsid w:val="00CB37EF"/>
    <w:rsid w:val="00CC5847"/>
    <w:rsid w:val="00CC6F0B"/>
    <w:rsid w:val="00CC7ED2"/>
    <w:rsid w:val="00CC7F48"/>
    <w:rsid w:val="00CD0DD0"/>
    <w:rsid w:val="00CD64CE"/>
    <w:rsid w:val="00CD7106"/>
    <w:rsid w:val="00CE67ED"/>
    <w:rsid w:val="00CE6B7C"/>
    <w:rsid w:val="00D03EBF"/>
    <w:rsid w:val="00D177BA"/>
    <w:rsid w:val="00D2147B"/>
    <w:rsid w:val="00D2748D"/>
    <w:rsid w:val="00D32650"/>
    <w:rsid w:val="00D35A33"/>
    <w:rsid w:val="00D41BC0"/>
    <w:rsid w:val="00D4212E"/>
    <w:rsid w:val="00D46ABE"/>
    <w:rsid w:val="00D56F22"/>
    <w:rsid w:val="00D60837"/>
    <w:rsid w:val="00D737E9"/>
    <w:rsid w:val="00D82ED2"/>
    <w:rsid w:val="00D8383D"/>
    <w:rsid w:val="00D83ECF"/>
    <w:rsid w:val="00D87207"/>
    <w:rsid w:val="00D930A9"/>
    <w:rsid w:val="00D9489C"/>
    <w:rsid w:val="00DA57CD"/>
    <w:rsid w:val="00DA5C28"/>
    <w:rsid w:val="00DB4B0E"/>
    <w:rsid w:val="00DD7D93"/>
    <w:rsid w:val="00DE063A"/>
    <w:rsid w:val="00DE0D69"/>
    <w:rsid w:val="00DE305A"/>
    <w:rsid w:val="00DF3052"/>
    <w:rsid w:val="00DF39BC"/>
    <w:rsid w:val="00E00282"/>
    <w:rsid w:val="00E04942"/>
    <w:rsid w:val="00E05E6C"/>
    <w:rsid w:val="00E23160"/>
    <w:rsid w:val="00E23ADD"/>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E20EB"/>
    <w:rsid w:val="00EE46F3"/>
    <w:rsid w:val="00EE5B47"/>
    <w:rsid w:val="00EE7C96"/>
    <w:rsid w:val="00EF57AA"/>
    <w:rsid w:val="00F01301"/>
    <w:rsid w:val="00F07175"/>
    <w:rsid w:val="00F25994"/>
    <w:rsid w:val="00F34D03"/>
    <w:rsid w:val="00F43969"/>
    <w:rsid w:val="00F47B23"/>
    <w:rsid w:val="00F554A9"/>
    <w:rsid w:val="00F62898"/>
    <w:rsid w:val="00F71930"/>
    <w:rsid w:val="00F80823"/>
    <w:rsid w:val="00F81C15"/>
    <w:rsid w:val="00F81EC9"/>
    <w:rsid w:val="00F82088"/>
    <w:rsid w:val="00F83100"/>
    <w:rsid w:val="00F84DD2"/>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577</Words>
  <Characters>3291</Characters>
  <Application>Microsoft Office Word</Application>
  <DocSecurity>0</DocSecurity>
  <Lines>27</Lines>
  <Paragraphs>7</Paragraphs>
  <ScaleCrop>false</ScaleCrop>
  <Company>TURMOB</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357</cp:revision>
  <cp:lastPrinted>2013-10-10T07:17:00Z</cp:lastPrinted>
  <dcterms:created xsi:type="dcterms:W3CDTF">2013-06-03T05:31:00Z</dcterms:created>
  <dcterms:modified xsi:type="dcterms:W3CDTF">2013-11-14T06:32:00Z</dcterms:modified>
</cp:coreProperties>
</file>