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421E7" w:rsidRDefault="004A146C" w:rsidP="007421E7">
      <w:pPr>
        <w:spacing w:after="0" w:line="280" w:lineRule="atLeast"/>
        <w:rPr>
          <w:rFonts w:ascii="Times New Roman" w:hAnsi="Times New Roman" w:cs="Times New Roman"/>
          <w:b/>
          <w:sz w:val="20"/>
          <w:szCs w:val="20"/>
          <w:u w:val="single"/>
        </w:rPr>
      </w:pPr>
      <w:r w:rsidRPr="007421E7">
        <w:rPr>
          <w:rFonts w:ascii="Times New Roman" w:hAnsi="Times New Roman" w:cs="Times New Roman"/>
          <w:b/>
          <w:sz w:val="20"/>
          <w:szCs w:val="20"/>
          <w:u w:val="single"/>
        </w:rPr>
        <w:t>24</w:t>
      </w:r>
      <w:r w:rsidR="00A646D1" w:rsidRPr="007421E7">
        <w:rPr>
          <w:rFonts w:ascii="Times New Roman" w:hAnsi="Times New Roman" w:cs="Times New Roman"/>
          <w:b/>
          <w:sz w:val="20"/>
          <w:szCs w:val="20"/>
          <w:u w:val="single"/>
        </w:rPr>
        <w:t xml:space="preserve"> Aralık</w:t>
      </w:r>
      <w:r w:rsidR="00802E28" w:rsidRPr="007421E7">
        <w:rPr>
          <w:rFonts w:ascii="Times New Roman" w:hAnsi="Times New Roman" w:cs="Times New Roman"/>
          <w:b/>
          <w:sz w:val="20"/>
          <w:szCs w:val="20"/>
          <w:u w:val="single"/>
        </w:rPr>
        <w:t xml:space="preserve"> 2013,</w:t>
      </w:r>
      <w:r w:rsidR="000370C9" w:rsidRPr="007421E7">
        <w:rPr>
          <w:rFonts w:ascii="Times New Roman" w:hAnsi="Times New Roman" w:cs="Times New Roman"/>
          <w:b/>
          <w:sz w:val="20"/>
          <w:szCs w:val="20"/>
          <w:u w:val="single"/>
        </w:rPr>
        <w:t xml:space="preserve"> </w:t>
      </w:r>
      <w:r w:rsidR="000370C9" w:rsidRPr="007421E7">
        <w:rPr>
          <w:rFonts w:ascii="Times New Roman" w:hAnsi="Times New Roman" w:cs="Times New Roman"/>
          <w:b/>
          <w:sz w:val="20"/>
          <w:szCs w:val="20"/>
          <w:u w:val="single"/>
        </w:rPr>
        <w:tab/>
      </w:r>
      <w:r w:rsidR="000370C9" w:rsidRPr="007421E7">
        <w:rPr>
          <w:rFonts w:ascii="Times New Roman" w:hAnsi="Times New Roman" w:cs="Times New Roman"/>
          <w:b/>
          <w:sz w:val="20"/>
          <w:szCs w:val="20"/>
          <w:u w:val="single"/>
        </w:rPr>
        <w:tab/>
      </w:r>
      <w:r w:rsidR="000370C9" w:rsidRPr="007421E7">
        <w:rPr>
          <w:rFonts w:ascii="Times New Roman" w:hAnsi="Times New Roman" w:cs="Times New Roman"/>
          <w:b/>
          <w:sz w:val="20"/>
          <w:szCs w:val="20"/>
          <w:u w:val="single"/>
        </w:rPr>
        <w:tab/>
      </w:r>
      <w:r w:rsidR="000370C9" w:rsidRPr="007421E7">
        <w:rPr>
          <w:rFonts w:ascii="Times New Roman" w:hAnsi="Times New Roman" w:cs="Times New Roman"/>
          <w:b/>
          <w:sz w:val="20"/>
          <w:szCs w:val="20"/>
          <w:u w:val="single"/>
        </w:rPr>
        <w:tab/>
      </w:r>
      <w:r w:rsidR="000370C9" w:rsidRPr="007421E7">
        <w:rPr>
          <w:rFonts w:ascii="Times New Roman" w:hAnsi="Times New Roman" w:cs="Times New Roman"/>
          <w:b/>
          <w:sz w:val="20"/>
          <w:szCs w:val="20"/>
          <w:u w:val="single"/>
        </w:rPr>
        <w:tab/>
      </w:r>
      <w:r w:rsidR="000370C9" w:rsidRPr="007421E7">
        <w:rPr>
          <w:rFonts w:ascii="Times New Roman" w:hAnsi="Times New Roman" w:cs="Times New Roman"/>
          <w:b/>
          <w:sz w:val="20"/>
          <w:szCs w:val="20"/>
          <w:u w:val="single"/>
        </w:rPr>
        <w:tab/>
      </w:r>
      <w:r w:rsidR="002950D7" w:rsidRPr="007421E7">
        <w:rPr>
          <w:rFonts w:ascii="Times New Roman" w:hAnsi="Times New Roman" w:cs="Times New Roman"/>
          <w:b/>
          <w:sz w:val="20"/>
          <w:szCs w:val="20"/>
          <w:u w:val="single"/>
        </w:rPr>
        <w:tab/>
      </w:r>
      <w:r w:rsidR="00BF2F3F" w:rsidRPr="007421E7">
        <w:rPr>
          <w:rFonts w:ascii="Times New Roman" w:hAnsi="Times New Roman" w:cs="Times New Roman"/>
          <w:b/>
          <w:sz w:val="20"/>
          <w:szCs w:val="20"/>
          <w:u w:val="single"/>
        </w:rPr>
        <w:tab/>
        <w:t xml:space="preserve">           </w:t>
      </w:r>
      <w:r w:rsidR="00C750C0" w:rsidRPr="007421E7">
        <w:rPr>
          <w:rFonts w:ascii="Times New Roman" w:hAnsi="Times New Roman" w:cs="Times New Roman"/>
          <w:b/>
          <w:sz w:val="20"/>
          <w:szCs w:val="20"/>
          <w:u w:val="single"/>
        </w:rPr>
        <w:t xml:space="preserve"> </w:t>
      </w:r>
      <w:r w:rsidR="005A4F7F" w:rsidRPr="007421E7">
        <w:rPr>
          <w:rFonts w:ascii="Times New Roman" w:hAnsi="Times New Roman" w:cs="Times New Roman"/>
          <w:b/>
          <w:sz w:val="20"/>
          <w:szCs w:val="20"/>
          <w:u w:val="single"/>
        </w:rPr>
        <w:t xml:space="preserve"> </w:t>
      </w:r>
      <w:r w:rsidR="00617B09" w:rsidRPr="007421E7">
        <w:rPr>
          <w:rFonts w:ascii="Times New Roman" w:hAnsi="Times New Roman" w:cs="Times New Roman"/>
          <w:b/>
          <w:sz w:val="20"/>
          <w:szCs w:val="20"/>
          <w:u w:val="single"/>
        </w:rPr>
        <w:t xml:space="preserve">    </w:t>
      </w:r>
      <w:r w:rsidR="005A4F7F" w:rsidRPr="007421E7">
        <w:rPr>
          <w:rFonts w:ascii="Times New Roman" w:hAnsi="Times New Roman" w:cs="Times New Roman"/>
          <w:b/>
          <w:sz w:val="20"/>
          <w:szCs w:val="20"/>
          <w:u w:val="single"/>
        </w:rPr>
        <w:t xml:space="preserve">    </w:t>
      </w:r>
      <w:r w:rsidR="00C750C0" w:rsidRPr="007421E7">
        <w:rPr>
          <w:rFonts w:ascii="Times New Roman" w:hAnsi="Times New Roman" w:cs="Times New Roman"/>
          <w:b/>
          <w:sz w:val="20"/>
          <w:szCs w:val="20"/>
          <w:u w:val="single"/>
        </w:rPr>
        <w:t xml:space="preserve"> </w:t>
      </w:r>
      <w:r w:rsidR="00C64C84" w:rsidRPr="007421E7">
        <w:rPr>
          <w:rFonts w:ascii="Times New Roman" w:hAnsi="Times New Roman" w:cs="Times New Roman"/>
          <w:b/>
          <w:sz w:val="20"/>
          <w:szCs w:val="20"/>
          <w:u w:val="single"/>
        </w:rPr>
        <w:t xml:space="preserve">  </w:t>
      </w:r>
      <w:r w:rsidRPr="007421E7">
        <w:rPr>
          <w:rFonts w:ascii="Times New Roman" w:hAnsi="Times New Roman" w:cs="Times New Roman"/>
          <w:b/>
          <w:sz w:val="20"/>
          <w:szCs w:val="20"/>
          <w:u w:val="single"/>
        </w:rPr>
        <w:t xml:space="preserve"> </w:t>
      </w:r>
      <w:proofErr w:type="gramStart"/>
      <w:r w:rsidRPr="007421E7">
        <w:rPr>
          <w:rFonts w:ascii="Times New Roman" w:hAnsi="Times New Roman" w:cs="Times New Roman"/>
          <w:b/>
          <w:sz w:val="20"/>
          <w:szCs w:val="20"/>
          <w:u w:val="single"/>
        </w:rPr>
        <w:t>Sayı : 28861</w:t>
      </w:r>
      <w:proofErr w:type="gramEnd"/>
    </w:p>
    <w:p w:rsidR="0099649F" w:rsidRPr="007421E7" w:rsidRDefault="0099649F" w:rsidP="007421E7">
      <w:pPr>
        <w:spacing w:after="0" w:line="280" w:lineRule="atLeast"/>
        <w:rPr>
          <w:rFonts w:ascii="Times New Roman" w:hAnsi="Times New Roman" w:cs="Times New Roman"/>
          <w:b/>
          <w:sz w:val="20"/>
          <w:szCs w:val="20"/>
          <w:u w:val="single"/>
        </w:rPr>
      </w:pP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Bankacılık Düzenleme ve Denetleme Kurumundan:</w:t>
      </w:r>
    </w:p>
    <w:p w:rsidR="007421E7" w:rsidRPr="007421E7" w:rsidRDefault="007421E7" w:rsidP="007421E7">
      <w:pPr>
        <w:pStyle w:val="NormalWeb"/>
        <w:spacing w:before="0" w:beforeAutospacing="0" w:after="0" w:afterAutospacing="0" w:line="280" w:lineRule="atLeast"/>
        <w:jc w:val="center"/>
        <w:rPr>
          <w:sz w:val="20"/>
          <w:szCs w:val="20"/>
        </w:rPr>
      </w:pPr>
      <w:r w:rsidRPr="007421E7">
        <w:rPr>
          <w:sz w:val="20"/>
          <w:szCs w:val="20"/>
        </w:rPr>
        <w:t> </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FİNANSAL KİRALAMA, FAKTORİNG VE FİNANSMAN ŞİRKETLERİNİN MUHASEBE UYGULAMALARI İLE FİNANSAL TABLOLARI HAKKINDA YÖNETMELİK</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 </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BİRİNCİ BÖLÜM</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Amaç ve Kapsam, Dayanak ve Tanımlar</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Amaç ve kapsam</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1 – </w:t>
      </w:r>
      <w:r w:rsidRPr="007421E7">
        <w:rPr>
          <w:rFonts w:ascii="Times New Roman" w:hAnsi="Times New Roman" w:cs="Times New Roman"/>
          <w:sz w:val="20"/>
          <w:szCs w:val="20"/>
        </w:rPr>
        <w:t>(1) Bu Yönetmeliğin amacı, finansal kiralama,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ve finansman şirketlerinin muhasebe ve karşılık uygulamalarına ve kamuya açıklanacak finansal tablolarının biçim ve içeriğine ilişkin usul ve esasları düzenlemektir.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Dayanak</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2 –</w:t>
      </w:r>
      <w:r w:rsidRPr="007421E7">
        <w:rPr>
          <w:rFonts w:ascii="Times New Roman" w:hAnsi="Times New Roman" w:cs="Times New Roman"/>
          <w:sz w:val="20"/>
          <w:szCs w:val="20"/>
        </w:rPr>
        <w:t> (1) Bu Yönetmelik </w:t>
      </w:r>
      <w:proofErr w:type="gramStart"/>
      <w:r w:rsidRPr="007421E7">
        <w:rPr>
          <w:rFonts w:ascii="Times New Roman" w:hAnsi="Times New Roman" w:cs="Times New Roman"/>
          <w:sz w:val="20"/>
          <w:szCs w:val="20"/>
        </w:rPr>
        <w:t>21/11/2012</w:t>
      </w:r>
      <w:proofErr w:type="gramEnd"/>
      <w:r w:rsidRPr="007421E7">
        <w:rPr>
          <w:rFonts w:ascii="Times New Roman" w:hAnsi="Times New Roman" w:cs="Times New Roman"/>
          <w:sz w:val="20"/>
          <w:szCs w:val="20"/>
        </w:rPr>
        <w:t> tarihli ve 6361 sayılı Finansal Kiralama,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ve Finansman Şirketleri Kanununun 14 üncü ve 16 </w:t>
      </w:r>
      <w:proofErr w:type="spellStart"/>
      <w:r w:rsidRPr="007421E7">
        <w:rPr>
          <w:rFonts w:ascii="Times New Roman" w:hAnsi="Times New Roman" w:cs="Times New Roman"/>
          <w:sz w:val="20"/>
          <w:szCs w:val="20"/>
        </w:rPr>
        <w:t>ncı</w:t>
      </w:r>
      <w:proofErr w:type="spellEnd"/>
      <w:r w:rsidRPr="007421E7">
        <w:rPr>
          <w:rFonts w:ascii="Times New Roman" w:hAnsi="Times New Roman" w:cs="Times New Roman"/>
          <w:sz w:val="20"/>
          <w:szCs w:val="20"/>
        </w:rPr>
        <w:t> maddelerine dayanılarak hazırlanmıştır.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Tanımlar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3 –</w:t>
      </w:r>
      <w:r w:rsidRPr="007421E7">
        <w:rPr>
          <w:rFonts w:ascii="Times New Roman" w:hAnsi="Times New Roman" w:cs="Times New Roman"/>
          <w:sz w:val="20"/>
          <w:szCs w:val="20"/>
        </w:rPr>
        <w:t> (1) Bu Yönetmeliğin uygulamasında;</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a) Alacaklar: Şirketler tarafından gerçekleştirilen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kiralama ve finansman işlemlerine ilişkin alacaklar ile bilançonun aktifinde kayıtlı diğer alacakları,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b) Kanun: </w:t>
      </w:r>
      <w:proofErr w:type="gramStart"/>
      <w:r w:rsidRPr="007421E7">
        <w:rPr>
          <w:rFonts w:ascii="Times New Roman" w:hAnsi="Times New Roman" w:cs="Times New Roman"/>
          <w:sz w:val="20"/>
          <w:szCs w:val="20"/>
        </w:rPr>
        <w:t>21/11/2012</w:t>
      </w:r>
      <w:proofErr w:type="gramEnd"/>
      <w:r w:rsidRPr="007421E7">
        <w:rPr>
          <w:rFonts w:ascii="Times New Roman" w:hAnsi="Times New Roman" w:cs="Times New Roman"/>
          <w:sz w:val="20"/>
          <w:szCs w:val="20"/>
        </w:rPr>
        <w:t> tarihli ve 6361 sayılı Finansal Kiralama,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ve Finansman Şirketleri Kanununu,</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c) Karşılıklar: Alacaklardan doğmuş veya doğması beklenen ancak miktarı kesin olarak belli olmayan zararların karşılanması amacıyla mali tablolarda </w:t>
      </w:r>
      <w:proofErr w:type="spellStart"/>
      <w:r w:rsidRPr="007421E7">
        <w:rPr>
          <w:rFonts w:ascii="Times New Roman" w:hAnsi="Times New Roman" w:cs="Times New Roman"/>
          <w:sz w:val="20"/>
          <w:szCs w:val="20"/>
        </w:rPr>
        <w:t>hesaben</w:t>
      </w:r>
      <w:proofErr w:type="spellEnd"/>
      <w:r w:rsidRPr="007421E7">
        <w:rPr>
          <w:rFonts w:ascii="Times New Roman" w:hAnsi="Times New Roman" w:cs="Times New Roman"/>
          <w:sz w:val="20"/>
          <w:szCs w:val="20"/>
        </w:rPr>
        <w:t> ayrılarak gider yazılan tutarları,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ç) Kurul: Bankacılık Düzenleme ve Denetleme Kurulunu,</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d) Şirket: 6361 sayılı Finansal Kiralama,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ve Finansman Şirketleri Kanununun 3 üncü maddesinde tanımlanan şirketleri,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e) Teminat: Alacakların geri ödenememesi riskine karşılık şirket alacağının tamamen veya kısmen güvence altına alınmasını sağlayan her türlü varlık, garanti ve kefaletler ile sözleşmeden doğan hakları,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f) Türkiye Muhasebe Standardı: Kamu Gözetimi, Muhasebe ve Denetim Standartları Kurumu tarafından yürürlüğe konulmuş olan Türkiye Muhasebe Standartları ve Türkiye Finansal Raporlama Standartları ile bunlara ilişkin ek ve yorumları</w:t>
      </w:r>
    </w:p>
    <w:p w:rsidR="007421E7" w:rsidRPr="007421E7" w:rsidRDefault="007421E7" w:rsidP="007421E7">
      <w:pPr>
        <w:pStyle w:val="NormalWeb"/>
        <w:spacing w:before="0" w:beforeAutospacing="0" w:after="0" w:afterAutospacing="0" w:line="280" w:lineRule="atLeast"/>
        <w:rPr>
          <w:sz w:val="20"/>
          <w:szCs w:val="20"/>
        </w:rPr>
      </w:pPr>
      <w:proofErr w:type="gramStart"/>
      <w:r w:rsidRPr="007421E7">
        <w:rPr>
          <w:sz w:val="20"/>
          <w:szCs w:val="20"/>
        </w:rPr>
        <w:t>ifade</w:t>
      </w:r>
      <w:proofErr w:type="gramEnd"/>
      <w:r w:rsidRPr="007421E7">
        <w:rPr>
          <w:sz w:val="20"/>
          <w:szCs w:val="20"/>
        </w:rPr>
        <w:t> eder.</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İKİNCİ BÖLÜM</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Muhasebe Uygulamaları</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Muhasebe</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4 –</w:t>
      </w:r>
      <w:r w:rsidRPr="007421E7">
        <w:rPr>
          <w:rFonts w:ascii="Times New Roman" w:hAnsi="Times New Roman" w:cs="Times New Roman"/>
          <w:sz w:val="20"/>
          <w:szCs w:val="20"/>
        </w:rPr>
        <w:t> (1) Şirket; Kamu Gözetimi, Muhasebe ve Denetim Standartları Kurulu tarafından belirlenen usul ve esaslar çerçevesinde tüm işlemlerini gerçek mahiyetlerine uygun surette muhasebeleştirmek, finansal raporlarını bilgi edinme ihtiyacını karşılayabilecek biçim ve içerikte, anlaşılır, güvenilir ve karşılaştırılabilir, denetime, analize ve yorumlamaya elverişli, zamanında ve doğru şekilde düzenlemek zorundadır.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lastRenderedPageBreak/>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(2) Şirket, yıl sonu </w:t>
      </w:r>
      <w:proofErr w:type="gramStart"/>
      <w:r w:rsidRPr="007421E7">
        <w:rPr>
          <w:rFonts w:ascii="Times New Roman" w:hAnsi="Times New Roman" w:cs="Times New Roman"/>
          <w:sz w:val="20"/>
          <w:szCs w:val="20"/>
        </w:rPr>
        <w:t>konsolide</w:t>
      </w:r>
      <w:proofErr w:type="gramEnd"/>
      <w:r w:rsidRPr="007421E7">
        <w:rPr>
          <w:rFonts w:ascii="Times New Roman" w:hAnsi="Times New Roman" w:cs="Times New Roman"/>
          <w:sz w:val="20"/>
          <w:szCs w:val="20"/>
        </w:rPr>
        <w:t> ve konsolide olmayan finansal tablolarını,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a) Ek-1’de yer alan biçim ve içerikte hazırlamak ve</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b) Genel kurulca onaylanmalarını müteakip yedi gün içerisinde bağımsız denetim raporu ile birlikte internet sitelerinde yayımlayarak beş yıl boyunca kullanıcıların ulaşımına açık tutmak</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proofErr w:type="gramStart"/>
      <w:r w:rsidRPr="007421E7">
        <w:rPr>
          <w:rFonts w:ascii="Times New Roman" w:hAnsi="Times New Roman" w:cs="Times New Roman"/>
          <w:sz w:val="20"/>
          <w:szCs w:val="20"/>
        </w:rPr>
        <w:t>zorundadır</w:t>
      </w:r>
      <w:proofErr w:type="gramEnd"/>
      <w:r w:rsidRPr="007421E7">
        <w:rPr>
          <w:rFonts w:ascii="Times New Roman" w:hAnsi="Times New Roman" w:cs="Times New Roman"/>
          <w:sz w:val="20"/>
          <w:szCs w:val="20"/>
        </w:rPr>
        <w:t>.</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(3) Konsolide finansal tablolar, Ek-1’de yer alan biçim ve içerikteki finansal tabloların başlıkları “Konsolide” ibaresi eklenerek değiştirilmek ve gerekmesi halinde ilave satırlar eklenmek suretiyle düzenlenir.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(4) Şirket tarafından uygulanacak tekdüzen hesap planı ve </w:t>
      </w:r>
      <w:proofErr w:type="spellStart"/>
      <w:r w:rsidRPr="007421E7">
        <w:rPr>
          <w:sz w:val="20"/>
          <w:szCs w:val="20"/>
        </w:rPr>
        <w:t>izahnamesi</w:t>
      </w:r>
      <w:proofErr w:type="spellEnd"/>
      <w:r w:rsidRPr="007421E7">
        <w:rPr>
          <w:sz w:val="20"/>
          <w:szCs w:val="20"/>
        </w:rPr>
        <w:t> Kurulca düzenlenir.</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ÜÇÜNCÜ BÖLÜM</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Karşılık Uygulamaları</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Alacaklara ilişkin zararların muhasebeleştirilmesi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5 –</w:t>
      </w:r>
      <w:r w:rsidRPr="007421E7">
        <w:rPr>
          <w:rFonts w:ascii="Times New Roman" w:hAnsi="Times New Roman" w:cs="Times New Roman"/>
          <w:sz w:val="20"/>
          <w:szCs w:val="20"/>
        </w:rPr>
        <w:t> (1) Şirketler alacaklarına ilişkin doğmuş veya doğması beklenen zararlarını bu Yönetmelik hükümlerine, Türkiye Muhasebe Standartlarına ve Finansal Kiralama,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ve Finansman Şirketlerince Uygulanacak Tekdüzen Hesap Planı ve </w:t>
      </w:r>
      <w:proofErr w:type="spellStart"/>
      <w:r w:rsidRPr="007421E7">
        <w:rPr>
          <w:rFonts w:ascii="Times New Roman" w:hAnsi="Times New Roman" w:cs="Times New Roman"/>
          <w:sz w:val="20"/>
          <w:szCs w:val="20"/>
        </w:rPr>
        <w:t>İzahnamesi</w:t>
      </w:r>
      <w:proofErr w:type="spellEnd"/>
      <w:r w:rsidRPr="007421E7">
        <w:rPr>
          <w:rFonts w:ascii="Times New Roman" w:hAnsi="Times New Roman" w:cs="Times New Roman"/>
          <w:sz w:val="20"/>
          <w:szCs w:val="20"/>
        </w:rPr>
        <w:t> Hakkında Tebliğe uygun olarak muhasebeleştirir.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Özel karşılıklar ve genel karşılıklar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6 – </w:t>
      </w:r>
      <w:r w:rsidRPr="007421E7">
        <w:rPr>
          <w:rFonts w:ascii="Times New Roman" w:hAnsi="Times New Roman" w:cs="Times New Roman"/>
          <w:sz w:val="20"/>
          <w:szCs w:val="20"/>
        </w:rPr>
        <w:t>(1) Şirketlerce,</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a) Anapara, faiz veya her ikisinin tahsili vadesinden veya ödenmesi gereken tarihlerden itibaren doksan günden fazla geciken ancak yüz seksen günü geçmeyen alacakların en az yüzde yirmisi (% 20) oranında,</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b) Anapara veya faizin ya da her ikisinin vadesinden veya ödenmesi gereken tarihten itibaren tahsilinin gecikmesi yüz seksen günü geçen, ancak bir yılı geçmeyen alacakların en az yüzde ellisi (% 50) oranında,</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c) </w:t>
      </w:r>
      <w:proofErr w:type="gramStart"/>
      <w:r w:rsidRPr="007421E7">
        <w:rPr>
          <w:rFonts w:ascii="Times New Roman" w:hAnsi="Times New Roman" w:cs="Times New Roman"/>
          <w:sz w:val="20"/>
          <w:szCs w:val="20"/>
        </w:rPr>
        <w:t>Ana paranın</w:t>
      </w:r>
      <w:proofErr w:type="gramEnd"/>
      <w:r w:rsidRPr="007421E7">
        <w:rPr>
          <w:rFonts w:ascii="Times New Roman" w:hAnsi="Times New Roman" w:cs="Times New Roman"/>
          <w:sz w:val="20"/>
          <w:szCs w:val="20"/>
        </w:rPr>
        <w:t> veya faizin veya her ikisinin vadesinden veya ödenmesi gereken tarihten itibaren tahsili bir yıldan fazla gecikmiş olan alacakların yüzde yüzü (% 100) oranında</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proofErr w:type="gramStart"/>
      <w:r w:rsidRPr="007421E7">
        <w:rPr>
          <w:rFonts w:ascii="Times New Roman" w:hAnsi="Times New Roman" w:cs="Times New Roman"/>
          <w:sz w:val="20"/>
          <w:szCs w:val="20"/>
        </w:rPr>
        <w:t>özel</w:t>
      </w:r>
      <w:proofErr w:type="gramEnd"/>
      <w:r w:rsidRPr="007421E7">
        <w:rPr>
          <w:rFonts w:ascii="Times New Roman" w:hAnsi="Times New Roman" w:cs="Times New Roman"/>
          <w:sz w:val="20"/>
          <w:szCs w:val="20"/>
        </w:rPr>
        <w:t> karşılık ayrılır.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şirketlerince, garantili </w:t>
      </w:r>
      <w:proofErr w:type="spellStart"/>
      <w:r w:rsidRPr="007421E7">
        <w:rPr>
          <w:rFonts w:ascii="Times New Roman" w:hAnsi="Times New Roman" w:cs="Times New Roman"/>
          <w:sz w:val="20"/>
          <w:szCs w:val="20"/>
        </w:rPr>
        <w:t>faktoring</w:t>
      </w:r>
      <w:proofErr w:type="spellEnd"/>
      <w:r w:rsidRPr="007421E7">
        <w:rPr>
          <w:rFonts w:ascii="Times New Roman" w:hAnsi="Times New Roman" w:cs="Times New Roman"/>
          <w:sz w:val="20"/>
          <w:szCs w:val="20"/>
        </w:rPr>
        <w:t> işlemlerinde (a) bendinde belirtilen süreler yüz seksen gün ve iki yüz yetmiş gün, (b) bendinde belirtilen süreler iki yüz yetmiş gün ve bir yıl olarak uygulanır. Finansal kiralama şirketlerince, (a) bendinde belirtilen süreler yüz elli gün ve iki yüz kırk gün, (b) bendinde belirtilen süreler iki yüz kırk gün ve bir yıl olarak uygulanır. Şirketler, bu fıkrada belirtilen gecikmelerin gerçekleştiği ay sonuna kadar gerekli karşılığı ayırmak zorundadırlar.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proofErr w:type="gramStart"/>
      <w:r w:rsidRPr="007421E7">
        <w:rPr>
          <w:rFonts w:ascii="Times New Roman" w:hAnsi="Times New Roman" w:cs="Times New Roman"/>
          <w:sz w:val="20"/>
          <w:szCs w:val="20"/>
        </w:rPr>
        <w:t xml:space="preserve">(2) Anapara veya faiz ödemelerinin tahsilindeki gecikme birinci fıkrada belirtilen süreleri geçmemiş olsa veya bunların tahsilinde herhangi bir gecikme bulunmasa dahi, şirketler alacak tutarları için borçlunun kredi değerliliğine ilişkin mevcut bütün verileri ve ilgili Türkiye Muhasebe Standardında belirtilen güvenilirlik ve ihtiyatlılık ilkelerini dikkate alarak, teminat tutarını hesaplamaya dâhil etmeksizin, belirleyecekleri oranlarda özel karşılık ayırabilirler. </w:t>
      </w:r>
      <w:proofErr w:type="gramEnd"/>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(3) Sigorta primi, vergi ödemesi veya komisyon gibi tali alacak tutarlarının tahsilinde gecikme olması halinde, bunlara ilişkin anapara veya faiz ödemelerinde birinci fıkrada belirtilen gecikmelerin olmaması kaydıyla, bahse konu tali alacak tutarları ilgili Türkiye Muhasebe Standardında belirtilen önemlilik ilkesi çerçevesinde değerlendirilerek özel karşılığa tâbi tutulmayabilir.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lastRenderedPageBreak/>
        <w:t>(4) Bir borçludan birbirinden bağımsız birden fazla alacağın mevcut bulunması ve bu alacaklardan herhangi biri için birinci ve ikinci fıkra hükümleri kapsamında özel karşılık ayrılması halinde, diğer alacak tutarları için de aynı oranda özel karşılık ayrılır.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(5) Şirketler, anapara, faiz veya her ikisinin tahsilinde gecikme olmayan veya doksan günden daha az gecikme olan alacaklardan doğması beklenen ancak miktarı kesin olarak belli olmayan zararların karşılanması amacıyla, genel olarak ve herhangi bir işlemle doğrudan ilgili olmaksızın karşılık ayırabilirler.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(6) Finansman şirketleri Mart, Haziran, Eylül ve Aralık dönemleri itibarıyla konut kredisi dışındaki tüketici kredileri için kredi tutarının yüzde 4’ü oranında, anapara, faiz veya her ikisinin tahsilinde 30 günden fazla ancak 90 günden az gecikme olan bu nitelikteki krediler için kredi tutarının yüzde 8’i oranında genel karşılık ayırırlar.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(7) Şirketlerce birinci fıkranın (a) ve (b) bendi kapsamındaki alacakların "Tasfiye Olunacak Alacaklar" hesabına, aynı fıkranın (c) bendi kapsamındaki alacakların ise "Zarar Niteliğindeki Alacaklar" hesabına gecikmelerin gerçekleştiği ayın sonuna kadar aktarılması zorunludur.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(8) "Tasfiye Olunacak Alacaklar" ve "Zarar Niteliğindeki Alacaklar" hesaplarında izlenen alacaklar için daha önce yapılmış bulunan ve tahsil edilmediği halde gelir yazılan faiz ve gelir tahakkuk ve </w:t>
      </w:r>
      <w:proofErr w:type="gramStart"/>
      <w:r w:rsidRPr="007421E7">
        <w:rPr>
          <w:rFonts w:ascii="Times New Roman" w:hAnsi="Times New Roman" w:cs="Times New Roman"/>
          <w:sz w:val="20"/>
          <w:szCs w:val="20"/>
        </w:rPr>
        <w:t>reeskont</w:t>
      </w:r>
      <w:proofErr w:type="gramEnd"/>
      <w:r w:rsidRPr="007421E7">
        <w:rPr>
          <w:rFonts w:ascii="Times New Roman" w:hAnsi="Times New Roman" w:cs="Times New Roman"/>
          <w:sz w:val="20"/>
          <w:szCs w:val="20"/>
        </w:rPr>
        <w:t> tutarları için ilgili alacağın anapara tutarına uygulanan oran üzerinden özel karşılık ayrılır.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Yeniden yapılandırma</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proofErr w:type="gramStart"/>
      <w:r w:rsidRPr="007421E7">
        <w:rPr>
          <w:rStyle w:val="Gl"/>
          <w:rFonts w:ascii="Times New Roman" w:hAnsi="Times New Roman" w:cs="Times New Roman"/>
          <w:sz w:val="20"/>
          <w:szCs w:val="20"/>
        </w:rPr>
        <w:t>MADDE 7 – </w:t>
      </w:r>
      <w:r w:rsidRPr="007421E7">
        <w:rPr>
          <w:rFonts w:ascii="Times New Roman" w:hAnsi="Times New Roman" w:cs="Times New Roman"/>
          <w:sz w:val="20"/>
          <w:szCs w:val="20"/>
        </w:rPr>
        <w:t>(1) Anapara veya faiz ödemelerinin tahsilindeki gecikme 6 </w:t>
      </w:r>
      <w:proofErr w:type="spellStart"/>
      <w:r w:rsidRPr="007421E7">
        <w:rPr>
          <w:rFonts w:ascii="Times New Roman" w:hAnsi="Times New Roman" w:cs="Times New Roman"/>
          <w:sz w:val="20"/>
          <w:szCs w:val="20"/>
        </w:rPr>
        <w:t>ncı</w:t>
      </w:r>
      <w:proofErr w:type="spellEnd"/>
      <w:r w:rsidRPr="007421E7">
        <w:rPr>
          <w:rFonts w:ascii="Times New Roman" w:hAnsi="Times New Roman" w:cs="Times New Roman"/>
          <w:sz w:val="20"/>
          <w:szCs w:val="20"/>
        </w:rPr>
        <w:t> maddenin birinci fıkrasında belirtilen süreleri geçmiş olan alacaklardan, borçluya ilave kredi veya finansman temini, anapara ve/veya faiz indirimi gibi imkânlar temin etmek suretiyle veya bu tür imkânlar temin etmeksizin yeni bir ödeme planı belirlenmek suretiyle yeniden yapılandırılanların, en az doksan gün süreyle, ilgisine göre “Tasfiye Olunacak Alacaklar” veya “Zarar Niteliğindeki Alacaklar” hesabında izlenmesi zorunludur. </w:t>
      </w:r>
      <w:proofErr w:type="gramEnd"/>
      <w:r w:rsidRPr="007421E7">
        <w:rPr>
          <w:rFonts w:ascii="Times New Roman" w:hAnsi="Times New Roman" w:cs="Times New Roman"/>
          <w:sz w:val="20"/>
          <w:szCs w:val="20"/>
        </w:rPr>
        <w:t>Bu süre zarfında yeniden yapılandırılan alacak tutarı için 6 </w:t>
      </w:r>
      <w:proofErr w:type="spellStart"/>
      <w:r w:rsidRPr="007421E7">
        <w:rPr>
          <w:rFonts w:ascii="Times New Roman" w:hAnsi="Times New Roman" w:cs="Times New Roman"/>
          <w:sz w:val="20"/>
          <w:szCs w:val="20"/>
        </w:rPr>
        <w:t>ncı</w:t>
      </w:r>
      <w:proofErr w:type="spellEnd"/>
      <w:r w:rsidRPr="007421E7">
        <w:rPr>
          <w:rFonts w:ascii="Times New Roman" w:hAnsi="Times New Roman" w:cs="Times New Roman"/>
          <w:sz w:val="20"/>
          <w:szCs w:val="20"/>
        </w:rPr>
        <w:t> maddenin birinci fıkrası hükümlerine göre özel karşılık ayrılmasına devam edilir. Yeniden yapılandırılan alacak tutarı borçlunun kredi değerliliğine ilişkin mevcut bütün veriler ve ilgili Türkiye Muhasebe Standardında belirtilen güvenilirlik ve ihtiyatlılık varsayımları dikkate alınarak yapılacak değerlendirmeye göre bu süre sonunda ilgili ana faaliyet alacağı hesabına aktarılabilir.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Teminatlar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Style w:val="Gl"/>
          <w:rFonts w:ascii="Times New Roman" w:hAnsi="Times New Roman" w:cs="Times New Roman"/>
          <w:sz w:val="20"/>
          <w:szCs w:val="20"/>
        </w:rPr>
        <w:t>MADDE 8 – </w:t>
      </w:r>
      <w:r w:rsidRPr="007421E7">
        <w:rPr>
          <w:rFonts w:ascii="Times New Roman" w:hAnsi="Times New Roman" w:cs="Times New Roman"/>
          <w:sz w:val="20"/>
          <w:szCs w:val="20"/>
        </w:rPr>
        <w:t>(1) Şirketler, alacaklarına ilişkin teminatları aşağıda belirtilen teminat grupları itibariyle sınıflandırarak takip etmek zorundadır. Teminat tutarı, sadece özel karşılık tutarının hesaplanmasında, alacak tutarından yapılacak indirim olarak dikkate alınır.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a) Birinci Grup Teminatlar;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1) Rehin veya temlik sözleşmesi düzenlenmiş olması kaydıyla </w:t>
      </w:r>
      <w:proofErr w:type="gramStart"/>
      <w:r w:rsidRPr="007421E7">
        <w:rPr>
          <w:rFonts w:ascii="Times New Roman" w:hAnsi="Times New Roman" w:cs="Times New Roman"/>
          <w:sz w:val="20"/>
          <w:szCs w:val="20"/>
        </w:rPr>
        <w:t>Türkiye’de kurulu</w:t>
      </w:r>
      <w:proofErr w:type="gramEnd"/>
      <w:r w:rsidRPr="007421E7">
        <w:rPr>
          <w:rFonts w:ascii="Times New Roman" w:hAnsi="Times New Roman" w:cs="Times New Roman"/>
          <w:sz w:val="20"/>
          <w:szCs w:val="20"/>
        </w:rPr>
        <w:t> bankalar </w:t>
      </w:r>
      <w:proofErr w:type="spellStart"/>
      <w:r w:rsidRPr="007421E7">
        <w:rPr>
          <w:rFonts w:ascii="Times New Roman" w:hAnsi="Times New Roman" w:cs="Times New Roman"/>
          <w:sz w:val="20"/>
          <w:szCs w:val="20"/>
        </w:rPr>
        <w:t>nezdindeki</w:t>
      </w:r>
      <w:proofErr w:type="spellEnd"/>
      <w:r w:rsidRPr="007421E7">
        <w:rPr>
          <w:rFonts w:ascii="Times New Roman" w:hAnsi="Times New Roman" w:cs="Times New Roman"/>
          <w:sz w:val="20"/>
          <w:szCs w:val="20"/>
        </w:rPr>
        <w:t> nakit, mevduat, katılım fonu ve altın depo hesaplarını, Hazine Müsteşarlığı, Merkez Bankası, Özelleştirme İdaresi Başkanlığı ve Toplu Konut İdaresi Başkanlığınca çıkarılan ya da ödenmesi garanti edilen bono tahvil ve benzeri menkul kıymetler karşılığı yapılan repo işlemlerinden sağlanan fonları ve (B) tipi yatırım fonu katılma belgelerini, kredi kartından doğan üye işyeri alacaklarını ve şirket veya Türkiye’de kurulu bankalar nezdinde saklanan altını,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2) Hazine Müsteşarlığı, Merkez Bankası, Özelleştirme İdaresi Başkanlığı ve Toplu Konut İdaresi Başkanlığıyla yapılan işlemler ile bu kurumlarca çıkarılan ya da ödenmesi garanti edilen bono, tahvil ve benzeri menkul kıymetler karşılığı yapılan işlemleri,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lastRenderedPageBreak/>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3) OECD ülkeleri merkezi yönetimleri ile merkez bankalarınca ya da bunların kefaletiyle ihraç edilen menkul kıymetler ile bunlar tarafından verilecek garanti ve kefaletleri,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4) OECD ülkelerinde faaliyet gösteren bankaların garanti ve kefaletlerini,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5) Avrupa Merkez Bankasınca ya da bu Bankanın kefaletiyle ihraç edilecek menkul kıymetler ile bu Banka tarafından verilecek garanti ve kefaletleri,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xml:space="preserve">6) Türkiye’de faaliyette bulunan bankaların kendi kredi sınırları dâhilinde verecekleri kefaletler, teminat </w:t>
      </w:r>
      <w:proofErr w:type="spellStart"/>
      <w:r w:rsidRPr="007421E7">
        <w:rPr>
          <w:rFonts w:ascii="Times New Roman" w:hAnsi="Times New Roman" w:cs="Times New Roman"/>
          <w:sz w:val="20"/>
          <w:szCs w:val="20"/>
        </w:rPr>
        <w:t>mektuplarıaval</w:t>
      </w:r>
      <w:proofErr w:type="spellEnd"/>
      <w:r w:rsidRPr="007421E7">
        <w:rPr>
          <w:rFonts w:ascii="Times New Roman" w:hAnsi="Times New Roman" w:cs="Times New Roman"/>
          <w:sz w:val="20"/>
          <w:szCs w:val="20"/>
        </w:rPr>
        <w:t>, kabul ve ciroları,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7) Türkiye’de faaliyette bulunan bankalar tarafından ihraç edilen bono ve tahvilleri, bankaların fon kullanıcısı olduğu kira sertifikalarını ve bankalar tarafından ihraç edilen ipotek teminatlı menkul kıymetleri ve varlık teminatlı menkul kıymetleri,</w:t>
      </w:r>
    </w:p>
    <w:p w:rsidR="007421E7" w:rsidRPr="007421E7" w:rsidRDefault="007421E7" w:rsidP="007421E7">
      <w:pPr>
        <w:pStyle w:val="NormalWeb"/>
        <w:spacing w:before="0" w:beforeAutospacing="0" w:after="0" w:afterAutospacing="0" w:line="280" w:lineRule="atLeast"/>
        <w:rPr>
          <w:sz w:val="20"/>
          <w:szCs w:val="20"/>
        </w:rPr>
      </w:pPr>
      <w:proofErr w:type="gramStart"/>
      <w:r w:rsidRPr="007421E7">
        <w:rPr>
          <w:sz w:val="20"/>
          <w:szCs w:val="20"/>
        </w:rPr>
        <w:t>kapsar</w:t>
      </w:r>
      <w:proofErr w:type="gramEnd"/>
      <w:r w:rsidRPr="007421E7">
        <w:rPr>
          <w:sz w:val="20"/>
          <w:szCs w:val="20"/>
        </w:rPr>
        <w:t>.</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b) İkinci Grup Teminatlar;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1) Altın haricindeki kıymetli madenleri,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2) Borsaya </w:t>
      </w:r>
      <w:proofErr w:type="spellStart"/>
      <w:r w:rsidRPr="007421E7">
        <w:rPr>
          <w:sz w:val="20"/>
          <w:szCs w:val="20"/>
        </w:rPr>
        <w:t>kote</w:t>
      </w:r>
      <w:proofErr w:type="spellEnd"/>
      <w:r w:rsidRPr="007421E7">
        <w:rPr>
          <w:sz w:val="20"/>
          <w:szCs w:val="20"/>
        </w:rPr>
        <w:t> edilmiş hisse senetleri ve (A) tipi yatırım fonu katılma belgeleri,</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3) Borçlu tarafından ihraç edilenler hariç olmak üzere, özel sektör tahvillerini ve varlığa dayalı menkul kıymetleri,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4) Alacakların tahsil edilememesi riskine karşı koruma sağlayan kredi türev anlaşmalarını,</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5) Gerçek ve tüzel kişilerin kamu kurumları nezdinde doğmuş istihkak alacaklarının temliki veya </w:t>
      </w:r>
      <w:proofErr w:type="spellStart"/>
      <w:r w:rsidRPr="007421E7">
        <w:rPr>
          <w:sz w:val="20"/>
          <w:szCs w:val="20"/>
        </w:rPr>
        <w:t>rehnini</w:t>
      </w:r>
      <w:proofErr w:type="spellEnd"/>
      <w:r w:rsidRPr="007421E7">
        <w:rPr>
          <w:sz w:val="20"/>
          <w:szCs w:val="20"/>
        </w:rPr>
        <w:t>,</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6) Paraya tahvili kolay menkul kıymetler ile emtiayı temsil eden kıymetli evrak, piyasa değerini aşmayan tutarda rehinli her türlü emtia ve menkuller ile taşıtları,</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7) Ekspertiz kıymeti yeterli olmak kaydıyla, tapulu gayrimenkullerin ipotekleri ile tahsisli araziler üzerine yapılan gayrimenkullerin ipoteklerini,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8) Deniz konşimentosuna veya taşıma senedine dayalı ihracat vesaikini,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9) Gerçek ve tüzel kişilerden alınan, gerçek ticari ilişkiden kaynaklanan kambiyo senetlerini,</w:t>
      </w:r>
    </w:p>
    <w:p w:rsidR="007421E7" w:rsidRPr="007421E7" w:rsidRDefault="007421E7" w:rsidP="007421E7">
      <w:pPr>
        <w:pStyle w:val="NormalWeb"/>
        <w:spacing w:before="0" w:beforeAutospacing="0" w:after="0" w:afterAutospacing="0" w:line="280" w:lineRule="atLeast"/>
        <w:rPr>
          <w:sz w:val="20"/>
          <w:szCs w:val="20"/>
        </w:rPr>
      </w:pPr>
      <w:proofErr w:type="gramStart"/>
      <w:r w:rsidRPr="007421E7">
        <w:rPr>
          <w:sz w:val="20"/>
          <w:szCs w:val="20"/>
        </w:rPr>
        <w:t>kapsar</w:t>
      </w:r>
      <w:proofErr w:type="gramEnd"/>
      <w:r w:rsidRPr="007421E7">
        <w:rPr>
          <w:sz w:val="20"/>
          <w:szCs w:val="20"/>
        </w:rPr>
        <w:t>.</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c) Üçüncü Grup Teminatlar;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1) Ticari işletme </w:t>
      </w:r>
      <w:proofErr w:type="spellStart"/>
      <w:r w:rsidRPr="007421E7">
        <w:rPr>
          <w:sz w:val="20"/>
          <w:szCs w:val="20"/>
        </w:rPr>
        <w:t>rehnini</w:t>
      </w:r>
      <w:proofErr w:type="spellEnd"/>
      <w:r w:rsidRPr="007421E7">
        <w:rPr>
          <w:sz w:val="20"/>
          <w:szCs w:val="20"/>
        </w:rPr>
        <w:t>,</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2) Diğer ihracat vesaikini,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3) Ticari taşıt hat </w:t>
      </w:r>
      <w:proofErr w:type="spellStart"/>
      <w:r w:rsidRPr="007421E7">
        <w:rPr>
          <w:sz w:val="20"/>
          <w:szCs w:val="20"/>
        </w:rPr>
        <w:t>rehni</w:t>
      </w:r>
      <w:proofErr w:type="spellEnd"/>
      <w:r w:rsidRPr="007421E7">
        <w:rPr>
          <w:sz w:val="20"/>
          <w:szCs w:val="20"/>
        </w:rPr>
        <w:t> ve ticari taşıt plaka </w:t>
      </w:r>
      <w:proofErr w:type="spellStart"/>
      <w:r w:rsidRPr="007421E7">
        <w:rPr>
          <w:sz w:val="20"/>
          <w:szCs w:val="20"/>
        </w:rPr>
        <w:t>rehnini</w:t>
      </w:r>
      <w:proofErr w:type="spellEnd"/>
      <w:r w:rsidRPr="007421E7">
        <w:rPr>
          <w:sz w:val="20"/>
          <w:szCs w:val="20"/>
        </w:rPr>
        <w:t>,</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4) Uçak veya gemi ipoteğini,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5) Kredibilitesi borçlununkinden daha yüksek gerçek ve tüzel kişilerin kefaletlerini,</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6) Gerçek ve tüzel kişilerden alınan diğer senetleri,</w:t>
      </w:r>
    </w:p>
    <w:p w:rsidR="007421E7" w:rsidRPr="007421E7" w:rsidRDefault="007421E7" w:rsidP="007421E7">
      <w:pPr>
        <w:pStyle w:val="NormalWeb"/>
        <w:spacing w:before="0" w:beforeAutospacing="0" w:after="0" w:afterAutospacing="0" w:line="280" w:lineRule="atLeast"/>
        <w:rPr>
          <w:sz w:val="20"/>
          <w:szCs w:val="20"/>
        </w:rPr>
      </w:pPr>
      <w:proofErr w:type="gramStart"/>
      <w:r w:rsidRPr="007421E7">
        <w:rPr>
          <w:sz w:val="20"/>
          <w:szCs w:val="20"/>
        </w:rPr>
        <w:t>kapsar</w:t>
      </w:r>
      <w:proofErr w:type="gramEnd"/>
      <w:r w:rsidRPr="007421E7">
        <w:rPr>
          <w:sz w:val="20"/>
          <w:szCs w:val="20"/>
        </w:rPr>
        <w:t>.</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ç) Dördüncü Grup Teminatlar; ilk üç grup dışında kalan teminat türlerini kapsar.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(2) Finansal kiralama işlemlerinde kiralayan sıfatıyla şirketin mülkiyetinde bulunan kıymetler, bu maddede belirlenmiş bulunan niteliklerine uygun teminat gruplarına göre dikkate alınır.</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Teminatların özel karşılıkların hesaplanmasında dikkate alınması</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MADDE 9 –</w:t>
      </w:r>
      <w:r w:rsidRPr="007421E7">
        <w:rPr>
          <w:sz w:val="20"/>
          <w:szCs w:val="20"/>
        </w:rPr>
        <w:t> (1) Teminatlar, Türkiye Muhasebe Standartlarına göre değerlemeye tabi tutulur.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(2) Teminatların değerlenmiş tutarları alacak tutarından, aşağıda belirtilen dikkate alınma oranlarında indirilerek, özel karşılığa tabi alacak tutarı hesaplanır. Özel karşılığa tabi alacak tutarının belirlenmesi işlemi, her bir borçlu için şirketin münferit alacağı ve o borçlunun teminatlarının değerlenmiş tutarları esas alınarak yapılır.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a) Birinci grup teminatlar: Yüzde yüz (% 100)</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b) İkinci grup teminatlar: Yüzde yetmiş beş (% 75)</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c) Üçüncü grup teminatlar: Yüzde elli (% 50)</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lastRenderedPageBreak/>
        <w:t>ç) Dördüncü grup teminatlar: Yüzde yirmi beş (% 25)</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(3) Özel karşılıkların hesaplanmasında dikkate alınacak değerlenmiş teminat tutarı alacak miktarını aşamaz. Değerlenmiş teminat tutarının alacak tutarını aşması durumunda, bunun sadece alacak tutarına karşılık gelen kısmına yukarıda belirtilen dikkate alınma oranlarının uygulanması sonucu bulunacak tutar, indirilecek tutar olarak dikkate alınır.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(4) Bir alacak tutarı birden fazla grupta izlenen türde teminatla teminatlandırılmış ise;</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a) Özel karşılığa tabi olan alacak tutarının belirlenmesinde dikkate alınacak teminatların hesaplanmasına, grup sıralamasına göre en </w:t>
      </w:r>
      <w:proofErr w:type="gramStart"/>
      <w:r w:rsidRPr="007421E7">
        <w:rPr>
          <w:rFonts w:ascii="Times New Roman" w:hAnsi="Times New Roman" w:cs="Times New Roman"/>
          <w:sz w:val="20"/>
          <w:szCs w:val="20"/>
        </w:rPr>
        <w:t>likit</w:t>
      </w:r>
      <w:proofErr w:type="gramEnd"/>
      <w:r w:rsidRPr="007421E7">
        <w:rPr>
          <w:rFonts w:ascii="Times New Roman" w:hAnsi="Times New Roman" w:cs="Times New Roman"/>
          <w:sz w:val="20"/>
          <w:szCs w:val="20"/>
        </w:rPr>
        <w:t> kabul edilen birinci gruptan başlanır.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b) Her bir teminat türünün ayrı ayrı değerlenmiş tutarlarının, alacak tutarını aşıp aşmadığı kontrol edilir.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c) Hesaplamada birinci olarak ele alınan teminat türünün değerlenmiş tutarının, en fazla, alacak tutarına eşit olan kısmı, bu teminata ait dikkate alınma oranı ile çarpılarak alacak için özel karşılığın uygulanmayacağı kısım bulunur. Varsa, aynı teminat türünden olmaması kaydıyla, önce aynı gruptaki, müteakiben diğer gruplardaki teminat türleri için de aynı işlem ayrı ayrı ve sırasıyla tekrarlanır.</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 </w:t>
      </w:r>
    </w:p>
    <w:p w:rsidR="007421E7" w:rsidRPr="007421E7" w:rsidRDefault="007421E7" w:rsidP="007421E7">
      <w:pPr>
        <w:spacing w:after="0" w:line="280" w:lineRule="atLeast"/>
        <w:jc w:val="both"/>
        <w:rPr>
          <w:rFonts w:ascii="Times New Roman" w:hAnsi="Times New Roman" w:cs="Times New Roman"/>
          <w:sz w:val="20"/>
          <w:szCs w:val="20"/>
        </w:rPr>
      </w:pPr>
      <w:r w:rsidRPr="007421E7">
        <w:rPr>
          <w:rFonts w:ascii="Times New Roman" w:hAnsi="Times New Roman" w:cs="Times New Roman"/>
          <w:sz w:val="20"/>
          <w:szCs w:val="20"/>
        </w:rPr>
        <w:t>ç) Bu işlemlerin sonucunda, alacağa ilişkin olarak özel karşılık uygulanacak bir tutar kalırsa, bu kalan tutar üzerinden özel karşılık ayrılır.</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DÖRDÜNCÜ BÖLÜM</w:t>
      </w:r>
    </w:p>
    <w:p w:rsidR="007421E7" w:rsidRPr="007421E7" w:rsidRDefault="007421E7" w:rsidP="007421E7">
      <w:pPr>
        <w:pStyle w:val="NormalWeb"/>
        <w:spacing w:before="0" w:beforeAutospacing="0" w:after="0" w:afterAutospacing="0" w:line="280" w:lineRule="atLeast"/>
        <w:jc w:val="center"/>
        <w:rPr>
          <w:sz w:val="20"/>
          <w:szCs w:val="20"/>
        </w:rPr>
      </w:pPr>
      <w:r w:rsidRPr="007421E7">
        <w:rPr>
          <w:b/>
          <w:bCs/>
          <w:sz w:val="20"/>
          <w:szCs w:val="20"/>
        </w:rPr>
        <w:t>Yürürlük ve Yürütme</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Yürürlük</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MADDE 10 –</w:t>
      </w:r>
      <w:r w:rsidRPr="007421E7">
        <w:rPr>
          <w:sz w:val="20"/>
          <w:szCs w:val="20"/>
        </w:rPr>
        <w:t> (1) Bu Yönetmelik yayımı tarihinde yürürlüğe girer.</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Yürütme</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MADDE 11 –</w:t>
      </w:r>
      <w:r w:rsidRPr="007421E7">
        <w:rPr>
          <w:sz w:val="20"/>
          <w:szCs w:val="20"/>
        </w:rPr>
        <w:t> (1) Bu Yönetmelik hükümlerini Bankacılık Düzenleme ve Denetleme Kurumu Başkanı yürütür.</w:t>
      </w:r>
    </w:p>
    <w:p w:rsidR="007421E7" w:rsidRPr="007421E7" w:rsidRDefault="007421E7" w:rsidP="007421E7">
      <w:pPr>
        <w:pStyle w:val="NormalWeb"/>
        <w:spacing w:before="0" w:beforeAutospacing="0" w:after="0" w:afterAutospacing="0" w:line="280" w:lineRule="atLeast"/>
        <w:rPr>
          <w:sz w:val="20"/>
          <w:szCs w:val="20"/>
        </w:rPr>
      </w:pPr>
      <w:r w:rsidRPr="007421E7">
        <w:rPr>
          <w:sz w:val="20"/>
          <w:szCs w:val="20"/>
        </w:rPr>
        <w:t> </w:t>
      </w:r>
    </w:p>
    <w:p w:rsidR="007421E7" w:rsidRPr="007421E7" w:rsidRDefault="007421E7" w:rsidP="007421E7">
      <w:pPr>
        <w:pStyle w:val="NormalWeb"/>
        <w:spacing w:before="0" w:beforeAutospacing="0" w:after="0" w:afterAutospacing="0" w:line="280" w:lineRule="atLeast"/>
        <w:rPr>
          <w:sz w:val="20"/>
          <w:szCs w:val="20"/>
        </w:rPr>
      </w:pPr>
      <w:r w:rsidRPr="007421E7">
        <w:rPr>
          <w:rStyle w:val="Gl"/>
          <w:sz w:val="20"/>
          <w:szCs w:val="20"/>
        </w:rPr>
        <w:t>Yönetmeliğin ekleri için tıklayınız</w:t>
      </w:r>
    </w:p>
    <w:p w:rsidR="007421E7" w:rsidRPr="007421E7" w:rsidRDefault="007421E7" w:rsidP="007421E7">
      <w:pPr>
        <w:spacing w:after="0" w:line="280" w:lineRule="atLeast"/>
        <w:rPr>
          <w:rFonts w:ascii="Times New Roman" w:hAnsi="Times New Roman" w:cs="Times New Roman"/>
          <w:b/>
          <w:sz w:val="20"/>
          <w:szCs w:val="20"/>
          <w:u w:val="single"/>
        </w:rPr>
      </w:pPr>
    </w:p>
    <w:sectPr w:rsidR="007421E7" w:rsidRPr="007421E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407" w:rsidRDefault="00AC0407" w:rsidP="00CE6B7C">
      <w:pPr>
        <w:spacing w:after="0" w:line="240" w:lineRule="auto"/>
      </w:pPr>
      <w:r>
        <w:separator/>
      </w:r>
    </w:p>
  </w:endnote>
  <w:endnote w:type="continuationSeparator" w:id="0">
    <w:p w:rsidR="00AC0407" w:rsidRDefault="00AC040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21DD4">
        <w:pPr>
          <w:pStyle w:val="Altbilgi"/>
          <w:jc w:val="center"/>
        </w:pPr>
        <w:fldSimple w:instr=" PAGE   \* MERGEFORMAT ">
          <w:r w:rsidR="007421E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407" w:rsidRDefault="00AC0407" w:rsidP="00CE6B7C">
      <w:pPr>
        <w:spacing w:after="0" w:line="240" w:lineRule="auto"/>
      </w:pPr>
      <w:r>
        <w:separator/>
      </w:r>
    </w:p>
  </w:footnote>
  <w:footnote w:type="continuationSeparator" w:id="0">
    <w:p w:rsidR="00AC0407" w:rsidRDefault="00AC040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407"/>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0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2028</Words>
  <Characters>11564</Characters>
  <Application>Microsoft Office Word</Application>
  <DocSecurity>0</DocSecurity>
  <Lines>96</Lines>
  <Paragraphs>27</Paragraphs>
  <ScaleCrop>false</ScaleCrop>
  <Company>TURMOB</Company>
  <LinksUpToDate>false</LinksUpToDate>
  <CharactersWithSpaces>13565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464</cp:revision>
  <cp:lastPrinted>2013-12-13T06:43:00Z</cp:lastPrinted>
  <dcterms:created xsi:type="dcterms:W3CDTF">2013-06-03T05:31:00Z</dcterms:created>
  <dcterms:modified xsi:type="dcterms:W3CDTF">2013-12-24T06:41:00Z</dcterms:modified>
</cp:coreProperties>
</file>