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4" w:rsidRPr="0081642E" w:rsidRDefault="005319F4" w:rsidP="0081642E">
      <w:pPr>
        <w:spacing w:after="0" w:line="280" w:lineRule="atLeast"/>
        <w:rPr>
          <w:rFonts w:ascii="Times New Roman" w:hAnsi="Times New Roman" w:cs="Times New Roman"/>
          <w:b/>
          <w:sz w:val="20"/>
          <w:szCs w:val="20"/>
          <w:u w:val="single"/>
        </w:rPr>
      </w:pPr>
      <w:r w:rsidRPr="0081642E">
        <w:rPr>
          <w:rFonts w:ascii="Times New Roman" w:hAnsi="Times New Roman" w:cs="Times New Roman"/>
          <w:b/>
          <w:sz w:val="20"/>
          <w:szCs w:val="20"/>
          <w:u w:val="single"/>
        </w:rPr>
        <w:t xml:space="preserve">28 Aralık 2013, </w:t>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r>
      <w:r w:rsidRPr="0081642E">
        <w:rPr>
          <w:rFonts w:ascii="Times New Roman" w:hAnsi="Times New Roman" w:cs="Times New Roman"/>
          <w:b/>
          <w:sz w:val="20"/>
          <w:szCs w:val="20"/>
          <w:u w:val="single"/>
        </w:rPr>
        <w:tab/>
        <w:t xml:space="preserve">                         </w:t>
      </w:r>
      <w:proofErr w:type="gramStart"/>
      <w:r w:rsidRPr="0081642E">
        <w:rPr>
          <w:rFonts w:ascii="Times New Roman" w:hAnsi="Times New Roman" w:cs="Times New Roman"/>
          <w:b/>
          <w:sz w:val="20"/>
          <w:szCs w:val="20"/>
          <w:u w:val="single"/>
        </w:rPr>
        <w:t>Sayı : 28865</w:t>
      </w:r>
      <w:proofErr w:type="gramEnd"/>
    </w:p>
    <w:p w:rsidR="00627628" w:rsidRPr="0081642E" w:rsidRDefault="00627628" w:rsidP="0081642E">
      <w:pPr>
        <w:spacing w:after="0" w:line="280" w:lineRule="atLeast"/>
        <w:rPr>
          <w:rFonts w:ascii="Times New Roman" w:hAnsi="Times New Roman" w:cs="Times New Roman"/>
          <w:sz w:val="20"/>
          <w:szCs w:val="20"/>
        </w:rPr>
      </w:pP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Adalet Bakanlığından:</w:t>
      </w:r>
    </w:p>
    <w:p w:rsidR="0081642E" w:rsidRPr="0081642E" w:rsidRDefault="0081642E" w:rsidP="0081642E">
      <w:pPr>
        <w:pStyle w:val="NormalWeb"/>
        <w:spacing w:before="0" w:beforeAutospacing="0" w:after="0" w:afterAutospacing="0" w:line="280" w:lineRule="atLeast"/>
        <w:jc w:val="center"/>
        <w:rPr>
          <w:sz w:val="20"/>
          <w:szCs w:val="20"/>
        </w:rPr>
      </w:pPr>
      <w:r w:rsidRPr="0081642E">
        <w:rPr>
          <w:b/>
          <w:bCs/>
          <w:sz w:val="20"/>
          <w:szCs w:val="20"/>
        </w:rPr>
        <w:t xml:space="preserve">2014 YILI ARABULUCULUK ASGARİ ÜCRET TARİFESİ </w:t>
      </w:r>
    </w:p>
    <w:p w:rsidR="0081642E" w:rsidRPr="0081642E" w:rsidRDefault="0081642E" w:rsidP="0081642E">
      <w:pPr>
        <w:pStyle w:val="NormalWeb"/>
        <w:spacing w:before="0" w:beforeAutospacing="0" w:after="0" w:afterAutospacing="0" w:line="280" w:lineRule="atLeast"/>
        <w:jc w:val="center"/>
        <w:rPr>
          <w:sz w:val="20"/>
          <w:szCs w:val="20"/>
        </w:rPr>
      </w:pPr>
      <w:r w:rsidRPr="0081642E">
        <w:rPr>
          <w:b/>
          <w:bCs/>
          <w:sz w:val="20"/>
          <w:szCs w:val="20"/>
        </w:rPr>
        <w:t>GENEL HÜKÜMLER</w:t>
      </w:r>
    </w:p>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Konu ve kapsam</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1 –</w:t>
      </w:r>
      <w:r w:rsidRPr="0081642E">
        <w:rPr>
          <w:rFonts w:ascii="Times New Roman" w:hAnsi="Times New Roman" w:cs="Times New Roman"/>
          <w:sz w:val="20"/>
          <w:szCs w:val="20"/>
        </w:rPr>
        <w:t> (1) Özel hukuk uyuşmazlıklarının arabuluculuk yoluyla çözümlenmesinde, arabulucu ile uyuşmazlığın tarafları arasında geçerli bir ücret sözleşmesi yapılmamış olan veya ücret miktarı konusunda arabulucu ile taraflar arasında ihtilaf bulunan durumlarda, Hukuk Uyuşmazlıklarında Arabuluculuk Kanunu, Hukuk Uyuşmazlıklarında Arabuluculuk Kanunu Yönetmeliği ve bu Tarife hükümleri uygulanır.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xml:space="preserve">(2) Bu Tarifede belirlenen ücretlerin altında arabuluculuk ücreti kararlaştırılamaz. Aksine yapılan </w:t>
      </w:r>
      <w:proofErr w:type="spellStart"/>
      <w:r w:rsidRPr="0081642E">
        <w:rPr>
          <w:rFonts w:ascii="Times New Roman" w:hAnsi="Times New Roman" w:cs="Times New Roman"/>
          <w:sz w:val="20"/>
          <w:szCs w:val="20"/>
        </w:rPr>
        <w:t>sözleşmelerinücrete</w:t>
      </w:r>
      <w:proofErr w:type="spellEnd"/>
      <w:r w:rsidRPr="0081642E">
        <w:rPr>
          <w:rFonts w:ascii="Times New Roman" w:hAnsi="Times New Roman" w:cs="Times New Roman"/>
          <w:sz w:val="20"/>
          <w:szCs w:val="20"/>
        </w:rPr>
        <w:t xml:space="preserve"> ilişkin hükümleri geçersiz olup, ücrete ilişkin olarak bu Tarife hükümleri uygulanır.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Arabuluculuk ücretinin kapsadığı işler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2 –</w:t>
      </w:r>
      <w:r w:rsidRPr="0081642E">
        <w:rPr>
          <w:rFonts w:ascii="Times New Roman" w:hAnsi="Times New Roman" w:cs="Times New Roman"/>
          <w:sz w:val="20"/>
          <w:szCs w:val="20"/>
        </w:rPr>
        <w:t> (1) Bu Tarifede yazılı arabuluculuk ücreti, uyuşmazlığın arabuluculuk yoluyla çözüme kavuşturulmasını sağlamak amacıyla, arabuluculuk faaliyetini yürüten arabulucular siciline kayıtlı kişiye, sarf ettiği emek ve mesainin karşılığında, uyuşmazlığın taraflarınca yapılan parasal ödemenin karşılığıdır.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(2) Arabuluculuk faaliyeti süresince arabulucu tarafından düzenlenen evrak ve yapılan diğer işlemler ayrı ücreti gerektirmez.</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(3) Arabulucu, arabuluculuk sürecine ilişkin olarak belirli kişiler için aracılık yapma veya belirli kişileri tavsiye etmenin karşılığı olarak herhangi bir ücret talep edemez. Bu yasağa aykırı olarak tesis edilen işlemler batıldır.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 xml:space="preserve">Arabuluculuk ücretinin sınırları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3 –</w:t>
      </w:r>
      <w:r w:rsidRPr="0081642E">
        <w:rPr>
          <w:rFonts w:ascii="Times New Roman" w:hAnsi="Times New Roman" w:cs="Times New Roman"/>
          <w:sz w:val="20"/>
          <w:szCs w:val="20"/>
        </w:rPr>
        <w:t> (1) Arabuluculuk ücreti Tarifede yazılı miktardan az olamaz. Aksi kararlaştırılmadıkça arabuluculuk ücreti taraflarca eşit ödenir. Taraflar arasında yazılı sözleşme bulunmadığı takdirde arabuluculuk ücreti, arabulucunun emeği, çabası, uyuşmazlık konusu işin önemi, uyuşmazlığın niteliği ve arabuluculuk faaliyetinin süresi göz önüne alınarak belirlenir.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Arabuluculuk faaliyetinin birden çok arabulucu ile yürütülmesi</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4 –</w:t>
      </w:r>
      <w:r w:rsidRPr="0081642E">
        <w:rPr>
          <w:rFonts w:ascii="Times New Roman" w:hAnsi="Times New Roman" w:cs="Times New Roman"/>
          <w:sz w:val="20"/>
          <w:szCs w:val="20"/>
        </w:rPr>
        <w:t> (1) Aynı uyuşmazlığın çözümüne ilişkin arabuluculuk faaliyetinin birden çok arabulucu tarafından yürütülmesi durumunda, ücret miktarları aynı olmak üzere, her bir arabulucuya ayrı ücret ödenir.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Ücretin tümünü hak etme</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proofErr w:type="gramStart"/>
      <w:r w:rsidRPr="0081642E">
        <w:rPr>
          <w:rStyle w:val="Gl"/>
          <w:rFonts w:ascii="Times New Roman" w:hAnsi="Times New Roman" w:cs="Times New Roman"/>
          <w:sz w:val="20"/>
          <w:szCs w:val="20"/>
        </w:rPr>
        <w:t>MADDE 5 –</w:t>
      </w:r>
      <w:r w:rsidRPr="0081642E">
        <w:rPr>
          <w:rFonts w:ascii="Times New Roman" w:hAnsi="Times New Roman" w:cs="Times New Roman"/>
          <w:sz w:val="20"/>
          <w:szCs w:val="20"/>
        </w:rPr>
        <w:t xml:space="preserve"> (1) Arabuluculuk faaliyetinin, gerek tarafların uyuşmazlık konusu üzerinde anlaşmaya </w:t>
      </w:r>
      <w:proofErr w:type="spellStart"/>
      <w:r w:rsidRPr="0081642E">
        <w:rPr>
          <w:rFonts w:ascii="Times New Roman" w:hAnsi="Times New Roman" w:cs="Times New Roman"/>
          <w:sz w:val="20"/>
          <w:szCs w:val="20"/>
        </w:rPr>
        <w:t>varmışolması</w:t>
      </w:r>
      <w:proofErr w:type="spellEnd"/>
      <w:r w:rsidRPr="0081642E">
        <w:rPr>
          <w:rFonts w:ascii="Times New Roman" w:hAnsi="Times New Roman" w:cs="Times New Roman"/>
          <w:sz w:val="20"/>
          <w:szCs w:val="20"/>
        </w:rPr>
        <w:t xml:space="preserve">, gerek taraflara danışıldıktan sonra arabuluculuk için daha fazla çaba sarf edilmesinin gereksiz olduğunun arabulucu tarafından tespit edilmesi, gerekse de taraflardan birinin karşı tarafa veya arabulucuya, arabuluculuk </w:t>
      </w:r>
      <w:proofErr w:type="spellStart"/>
      <w:r w:rsidRPr="0081642E">
        <w:rPr>
          <w:rFonts w:ascii="Times New Roman" w:hAnsi="Times New Roman" w:cs="Times New Roman"/>
          <w:sz w:val="20"/>
          <w:szCs w:val="20"/>
        </w:rPr>
        <w:t>faaliyetindençekildiğini</w:t>
      </w:r>
      <w:proofErr w:type="spellEnd"/>
      <w:r w:rsidRPr="0081642E">
        <w:rPr>
          <w:rFonts w:ascii="Times New Roman" w:hAnsi="Times New Roman" w:cs="Times New Roman"/>
          <w:sz w:val="20"/>
          <w:szCs w:val="20"/>
        </w:rPr>
        <w:t xml:space="preserve"> bildirmesi veya tarafların anlaşarak arabuluculuk faaliyetini sona erdirmesi sebepleriyle sona ermesi hallerinde, arabuluculuk faaliyetini yürütme görevini kabul eden arabulucu, Tarife hükümleri ile belirlenen ücretin tamamına hak kazanır.</w:t>
      </w:r>
      <w:proofErr w:type="gramEnd"/>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xml:space="preserve">(2) Arabuluculuk faaliyetine başlandıktan sonra, uyuşmazlığın arabuluculuğa elverişli olmadığı veya 4/12/2004 tarihli ve 5271 sayılı Ceza Muhakemesi Kanunu gereğince uzlaşma kapsamına girmeyen bir suç ile ilgili olduğu </w:t>
      </w:r>
      <w:proofErr w:type="spellStart"/>
      <w:r w:rsidRPr="0081642E">
        <w:rPr>
          <w:rFonts w:ascii="Times New Roman" w:hAnsi="Times New Roman" w:cs="Times New Roman"/>
          <w:sz w:val="20"/>
          <w:szCs w:val="20"/>
        </w:rPr>
        <w:t>hususlarıortaya</w:t>
      </w:r>
      <w:proofErr w:type="spellEnd"/>
      <w:r w:rsidRPr="0081642E">
        <w:rPr>
          <w:rFonts w:ascii="Times New Roman" w:hAnsi="Times New Roman" w:cs="Times New Roman"/>
          <w:sz w:val="20"/>
          <w:szCs w:val="20"/>
        </w:rPr>
        <w:t xml:space="preserve"> çıkar ve bu sebeplerle de arabuluculuk faaliyeti sona erdirilir ise, sonradan ortaya çıkan bu </w:t>
      </w:r>
      <w:r w:rsidRPr="0081642E">
        <w:rPr>
          <w:rFonts w:ascii="Times New Roman" w:hAnsi="Times New Roman" w:cs="Times New Roman"/>
          <w:sz w:val="20"/>
          <w:szCs w:val="20"/>
        </w:rPr>
        <w:lastRenderedPageBreak/>
        <w:t xml:space="preserve">durumlarla ilgili olarak eğer arabulucunun herhangi bir kusuru </w:t>
      </w:r>
      <w:proofErr w:type="gramStart"/>
      <w:r w:rsidRPr="0081642E">
        <w:rPr>
          <w:rFonts w:ascii="Times New Roman" w:hAnsi="Times New Roman" w:cs="Times New Roman"/>
          <w:sz w:val="20"/>
          <w:szCs w:val="20"/>
        </w:rPr>
        <w:t>yoksa,</w:t>
      </w:r>
      <w:proofErr w:type="gramEnd"/>
      <w:r w:rsidRPr="0081642E">
        <w:rPr>
          <w:rFonts w:ascii="Times New Roman" w:hAnsi="Times New Roman" w:cs="Times New Roman"/>
          <w:sz w:val="20"/>
          <w:szCs w:val="20"/>
        </w:rPr>
        <w:t xml:space="preserve"> arabuluculuk faaliyetini yürütme görevini kabul eden arabulucu, Tarife hükümleri ile belirlenen ücretin tamamına hak kazanır.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(3) Arabuluculuk faaliyetine başlandıktan sonra taraflardan birinin ölümü halinde  ücretin yarısına hak kazanılır.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 xml:space="preserve">Arabuluculuk faaliyetinin konusuz kalması, feragat, kabul ve </w:t>
      </w:r>
      <w:proofErr w:type="spellStart"/>
      <w:r w:rsidRPr="0081642E">
        <w:rPr>
          <w:rStyle w:val="Gl"/>
          <w:rFonts w:ascii="Times New Roman" w:hAnsi="Times New Roman" w:cs="Times New Roman"/>
          <w:sz w:val="20"/>
          <w:szCs w:val="20"/>
        </w:rPr>
        <w:t>sulhte</w:t>
      </w:r>
      <w:proofErr w:type="spellEnd"/>
      <w:r w:rsidRPr="0081642E">
        <w:rPr>
          <w:rStyle w:val="Gl"/>
          <w:rFonts w:ascii="Times New Roman" w:hAnsi="Times New Roman" w:cs="Times New Roman"/>
          <w:sz w:val="20"/>
          <w:szCs w:val="20"/>
        </w:rPr>
        <w:t>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6 –</w:t>
      </w:r>
      <w:r w:rsidRPr="0081642E">
        <w:rPr>
          <w:rFonts w:ascii="Times New Roman" w:hAnsi="Times New Roman" w:cs="Times New Roman"/>
          <w:sz w:val="20"/>
          <w:szCs w:val="20"/>
        </w:rPr>
        <w:t> (1) Uyuşmazlık, arabuluculuk faaliyeti devam ederken, arabuluculuk faaliyetinin konusuz kalması, feragat, kabul veya sulh gibi arabuluculuk yolu dışındaki yöntem ve nedenlerle giderilirse, ücretin yarısına hak kazanılır.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Yeni bir uyuşmazlık konusunun ortaya çıkmasında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7 –</w:t>
      </w:r>
      <w:r w:rsidRPr="0081642E">
        <w:rPr>
          <w:rFonts w:ascii="Times New Roman" w:hAnsi="Times New Roman" w:cs="Times New Roman"/>
          <w:sz w:val="20"/>
          <w:szCs w:val="20"/>
        </w:rPr>
        <w:t> (1) Somut bir uyuşmazlıkla ilgili arabuluculuk faaliyetinin yürütülmesi sırasında, yeni uyuşmazlık konularının ortaya çıkması halinde, her bir uyuşmazlık için ayrı ücrete hak kazanılır.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Tarifelerin ikinci kısmına göre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8 –</w:t>
      </w:r>
      <w:r w:rsidRPr="0081642E">
        <w:rPr>
          <w:rFonts w:ascii="Times New Roman" w:hAnsi="Times New Roman" w:cs="Times New Roman"/>
          <w:sz w:val="20"/>
          <w:szCs w:val="20"/>
        </w:rPr>
        <w:t> (1) Tarifenin birinci kısmının birinci bölümünde ve ikinci bölümünde gösterilen hukuki uyuşmazlıkların konusu para veya para ile değerlendirilebiliyor ise; uyuşmazlık ister dava açılmadan önce arabuluculuk yoluyla çözüme kavuşturulmuş olsun isterse de dava açıldıktan sonra arabuluculuk yoluyla çözüme kavuşturulmuş olsun arabuluculuk ücreti, Tarifenin ikinci kısmına göre belirlenir.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Tarifede yazılı olmayan hallerde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9 –</w:t>
      </w:r>
      <w:r w:rsidRPr="0081642E">
        <w:rPr>
          <w:rFonts w:ascii="Times New Roman" w:hAnsi="Times New Roman" w:cs="Times New Roman"/>
          <w:sz w:val="20"/>
          <w:szCs w:val="20"/>
        </w:rPr>
        <w:t> (1) Tarifede yazılı olmayan haller için, uyuşmazlığa konu işin niteliği göz önünde tutularak, Tarifedeki benzeri hallere göre ücret belirlenir.</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Uygulanacak tarife</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MADDE 10 –</w:t>
      </w:r>
      <w:r w:rsidRPr="0081642E">
        <w:rPr>
          <w:rFonts w:ascii="Times New Roman" w:hAnsi="Times New Roman" w:cs="Times New Roman"/>
          <w:sz w:val="20"/>
          <w:szCs w:val="20"/>
        </w:rPr>
        <w:t> (1) Arabuluculuk ücretinin takdirinde, arabuluculuk faaliyetinin tamamlandığı veya sona erdiği tarihte yürürlükte olan tarife esas alınır.</w:t>
      </w:r>
    </w:p>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Yürürlük</w:t>
      </w:r>
    </w:p>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MADDE 11 –</w:t>
      </w:r>
      <w:r w:rsidRPr="0081642E">
        <w:rPr>
          <w:sz w:val="20"/>
          <w:szCs w:val="20"/>
        </w:rPr>
        <w:t xml:space="preserve"> (1) Bu Tarife </w:t>
      </w:r>
      <w:proofErr w:type="gramStart"/>
      <w:r w:rsidRPr="0081642E">
        <w:rPr>
          <w:sz w:val="20"/>
          <w:szCs w:val="20"/>
        </w:rPr>
        <w:t>1/1/2014</w:t>
      </w:r>
      <w:proofErr w:type="gramEnd"/>
      <w:r w:rsidRPr="0081642E">
        <w:rPr>
          <w:sz w:val="20"/>
          <w:szCs w:val="20"/>
        </w:rPr>
        <w:t xml:space="preserve"> tarihinde yürürlüğe girer.</w:t>
      </w:r>
    </w:p>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ARABULUCULUK ÜCRET TARİFESİ </w:t>
      </w:r>
    </w:p>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BİRİNCİ KISIM</w:t>
      </w:r>
    </w:p>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BİRİNCİ BÖLÜM</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Konusu Para Olmayan veya Para ile Değerlendirilemeyen Hukuki Uyuşmazlıkların Dava Açılmadan Önce Arabuluculuk Yoluyla Çözüme Kavuşturulmasının Sağlanmasında Arabulucuya Ödenecek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tbl>
      <w:tblPr>
        <w:tblW w:w="8505" w:type="dxa"/>
        <w:jc w:val="center"/>
        <w:tblCellSpacing w:w="0" w:type="dxa"/>
        <w:tblCellMar>
          <w:left w:w="0" w:type="dxa"/>
          <w:right w:w="0" w:type="dxa"/>
        </w:tblCellMar>
        <w:tblLook w:val="04A0"/>
      </w:tblPr>
      <w:tblGrid>
        <w:gridCol w:w="362"/>
        <w:gridCol w:w="6831"/>
        <w:gridCol w:w="1312"/>
      </w:tblGrid>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Aile Hukuku ile ilgili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lastRenderedPageBreak/>
              <w:t>2.</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Ticari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c) Ticari uyuşmazlığın taraflarının tümü sermaye şirketi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190,00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140,00 TL</w:t>
            </w:r>
          </w:p>
        </w:tc>
      </w:tr>
      <w:tr w:rsidR="0081642E" w:rsidRPr="0081642E">
        <w:trPr>
          <w:trHeight w:val="645"/>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spacing w:after="0" w:line="280" w:lineRule="atLeast"/>
              <w:jc w:val="both"/>
              <w:rPr>
                <w:rFonts w:ascii="Times New Roman" w:hAnsi="Times New Roman" w:cs="Times New Roman"/>
                <w:color w:val="000000"/>
                <w:sz w:val="20"/>
                <w:szCs w:val="20"/>
              </w:rPr>
            </w:pPr>
            <w:r w:rsidRPr="0081642E">
              <w:rPr>
                <w:rFonts w:ascii="Times New Roman" w:hAnsi="Times New Roman" w:cs="Times New Roman"/>
                <w:sz w:val="20"/>
                <w:szCs w:val="20"/>
              </w:rPr>
              <w:t>d) Tarafların tümü sermaye şirketi ve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da)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db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95,00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3.</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İşçi - işveren uyuşmazlıklarında;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xml:space="preserve">a) Fikrî ve </w:t>
            </w:r>
            <w:proofErr w:type="gramStart"/>
            <w:r w:rsidRPr="0081642E">
              <w:rPr>
                <w:sz w:val="20"/>
                <w:szCs w:val="20"/>
              </w:rPr>
              <w:t>sınai</w:t>
            </w:r>
            <w:proofErr w:type="gramEnd"/>
            <w:r w:rsidRPr="0081642E">
              <w:rPr>
                <w:sz w:val="20"/>
                <w:szCs w:val="20"/>
              </w:rPr>
              <w:t xml:space="preserve">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160,00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c) Uyuşmazlığın taraflarının tümü sermaye şirketi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190,00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140,00 TL</w:t>
            </w:r>
          </w:p>
        </w:tc>
      </w:tr>
      <w:tr w:rsidR="0081642E" w:rsidRPr="0081642E">
        <w:trPr>
          <w:trHeight w:val="69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spacing w:after="0" w:line="280" w:lineRule="atLeast"/>
              <w:jc w:val="both"/>
              <w:rPr>
                <w:rFonts w:ascii="Times New Roman" w:hAnsi="Times New Roman" w:cs="Times New Roman"/>
                <w:color w:val="000000"/>
                <w:sz w:val="20"/>
                <w:szCs w:val="20"/>
              </w:rPr>
            </w:pPr>
            <w:r w:rsidRPr="0081642E">
              <w:rPr>
                <w:rFonts w:ascii="Times New Roman" w:hAnsi="Times New Roman" w:cs="Times New Roman"/>
                <w:sz w:val="20"/>
                <w:szCs w:val="20"/>
              </w:rPr>
              <w:t>d) Tarafların tümü sermaye şirketi ve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da)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db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95,00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5.</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Diğer tür uyuşmazlıklarda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95,00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lastRenderedPageBreak/>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45,00 TL</w:t>
            </w:r>
          </w:p>
        </w:tc>
      </w:tr>
    </w:tbl>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 </w:t>
      </w:r>
    </w:p>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İKİNCİ BÖLÜM </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Konusu Para Olmayan veya Para ile Değerlendirilemeyen Hukuki Uyuşmazlıkların Dava Açıldıktan Sonra Arabuluculuk Yoluyla Çözüme Kavuşturulmasının Sağlanmasında Arabulucuya Ödenecek Ücret</w:t>
      </w:r>
    </w:p>
    <w:p w:rsidR="0081642E" w:rsidRPr="0081642E" w:rsidRDefault="0081642E" w:rsidP="0081642E">
      <w:pPr>
        <w:spacing w:after="0" w:line="280" w:lineRule="atLeast"/>
        <w:jc w:val="both"/>
        <w:rPr>
          <w:rFonts w:ascii="Times New Roman" w:hAnsi="Times New Roman" w:cs="Times New Roman"/>
          <w:sz w:val="20"/>
          <w:szCs w:val="20"/>
        </w:rPr>
      </w:pPr>
      <w:r w:rsidRPr="0081642E">
        <w:rPr>
          <w:rFonts w:ascii="Times New Roman" w:hAnsi="Times New Roman" w:cs="Times New Roman"/>
          <w:sz w:val="20"/>
          <w:szCs w:val="20"/>
        </w:rPr>
        <w:t> </w:t>
      </w:r>
    </w:p>
    <w:tbl>
      <w:tblPr>
        <w:tblW w:w="8505" w:type="dxa"/>
        <w:jc w:val="center"/>
        <w:tblCellSpacing w:w="0" w:type="dxa"/>
        <w:tblCellMar>
          <w:left w:w="0" w:type="dxa"/>
          <w:right w:w="0" w:type="dxa"/>
        </w:tblCellMar>
        <w:tblLook w:val="04A0"/>
      </w:tblPr>
      <w:tblGrid>
        <w:gridCol w:w="362"/>
        <w:gridCol w:w="6831"/>
        <w:gridCol w:w="1312"/>
      </w:tblGrid>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Aile Hukuku ile ilgili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Ticari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c)  Ticari uyuşmazlığın taraflarının tümü sermaye şirketi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180,00 TL</w:t>
            </w:r>
          </w:p>
        </w:tc>
      </w:tr>
      <w:tr w:rsidR="0081642E" w:rsidRPr="0081642E">
        <w:trPr>
          <w:trHeight w:val="675"/>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spacing w:after="0" w:line="280" w:lineRule="atLeast"/>
              <w:jc w:val="both"/>
              <w:rPr>
                <w:rFonts w:ascii="Times New Roman" w:hAnsi="Times New Roman" w:cs="Times New Roman"/>
                <w:color w:val="000000"/>
                <w:sz w:val="20"/>
                <w:szCs w:val="20"/>
              </w:rPr>
            </w:pPr>
            <w:r w:rsidRPr="0081642E">
              <w:rPr>
                <w:rFonts w:ascii="Times New Roman" w:hAnsi="Times New Roman" w:cs="Times New Roman"/>
                <w:sz w:val="20"/>
                <w:szCs w:val="20"/>
              </w:rPr>
              <w:t>d) Tarafların tümü sermaye şirketi ve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da)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db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3.</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İşçi - işveren uyuşmazlıklarında;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75,00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xml:space="preserve">a) Fikrî ve </w:t>
            </w:r>
            <w:proofErr w:type="gramStart"/>
            <w:r w:rsidRPr="0081642E">
              <w:rPr>
                <w:sz w:val="20"/>
                <w:szCs w:val="20"/>
              </w:rPr>
              <w:t>sınai</w:t>
            </w:r>
            <w:proofErr w:type="gramEnd"/>
            <w:r w:rsidRPr="0081642E">
              <w:rPr>
                <w:sz w:val="20"/>
                <w:szCs w:val="20"/>
              </w:rPr>
              <w:t xml:space="preserve"> uyuşmazlıklarda;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lastRenderedPageBreak/>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150,00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100,00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c) Uyuşmazlığın taraflarının tümü sermaye şirketi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240,00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cb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180,00 TL</w:t>
            </w:r>
          </w:p>
        </w:tc>
      </w:tr>
      <w:tr w:rsidR="0081642E" w:rsidRPr="0081642E">
        <w:trPr>
          <w:trHeight w:val="675"/>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spacing w:after="0" w:line="280" w:lineRule="atLeast"/>
              <w:jc w:val="both"/>
              <w:rPr>
                <w:rFonts w:ascii="Times New Roman" w:hAnsi="Times New Roman" w:cs="Times New Roman"/>
                <w:color w:val="000000"/>
                <w:sz w:val="20"/>
                <w:szCs w:val="20"/>
              </w:rPr>
            </w:pPr>
            <w:r w:rsidRPr="0081642E">
              <w:rPr>
                <w:rFonts w:ascii="Times New Roman" w:hAnsi="Times New Roman" w:cs="Times New Roman"/>
                <w:sz w:val="20"/>
                <w:szCs w:val="20"/>
              </w:rPr>
              <w:t>d) Tarafların tümü sermaye şirketi ve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da)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180,00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db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5.</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Diğer tür uyuşmazlıklarda ise;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aa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120,00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ab)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90,00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Uyuşmazlığın üç veya daha fazla tarafı bulunursa, taraf başına,</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ba</w:t>
            </w:r>
            <w:proofErr w:type="spellEnd"/>
            <w:r w:rsidRPr="0081642E">
              <w:rPr>
                <w:sz w:val="20"/>
                <w:szCs w:val="20"/>
              </w:rPr>
              <w:t>) Bir saati (İlk üç saate kadar)</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90,00 TL</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515" w:type="dxa"/>
            <w:vAlign w:val="center"/>
            <w:hideMark/>
          </w:tcPr>
          <w:p w:rsidR="0081642E" w:rsidRPr="0081642E" w:rsidRDefault="0081642E" w:rsidP="0081642E">
            <w:pPr>
              <w:pStyle w:val="NormalWeb"/>
              <w:spacing w:before="0" w:beforeAutospacing="0" w:after="0" w:afterAutospacing="0" w:line="280" w:lineRule="atLeast"/>
              <w:rPr>
                <w:sz w:val="20"/>
                <w:szCs w:val="20"/>
              </w:rPr>
            </w:pPr>
            <w:proofErr w:type="spellStart"/>
            <w:r w:rsidRPr="0081642E">
              <w:rPr>
                <w:sz w:val="20"/>
                <w:szCs w:val="20"/>
              </w:rPr>
              <w:t>bb</w:t>
            </w:r>
            <w:proofErr w:type="spellEnd"/>
            <w:r w:rsidRPr="0081642E">
              <w:rPr>
                <w:sz w:val="20"/>
                <w:szCs w:val="20"/>
              </w:rPr>
              <w:t>) Takip eden her saat için</w:t>
            </w:r>
          </w:p>
        </w:tc>
        <w:tc>
          <w:tcPr>
            <w:tcW w:w="141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60,00 TL</w:t>
            </w:r>
          </w:p>
        </w:tc>
      </w:tr>
    </w:tbl>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 </w:t>
      </w:r>
    </w:p>
    <w:p w:rsidR="0081642E" w:rsidRPr="0081642E" w:rsidRDefault="0081642E" w:rsidP="0081642E">
      <w:pPr>
        <w:pStyle w:val="NormalWeb"/>
        <w:spacing w:before="0" w:beforeAutospacing="0" w:after="0" w:afterAutospacing="0" w:line="280" w:lineRule="atLeast"/>
        <w:jc w:val="center"/>
        <w:rPr>
          <w:sz w:val="20"/>
          <w:szCs w:val="20"/>
        </w:rPr>
      </w:pPr>
      <w:r w:rsidRPr="0081642E">
        <w:rPr>
          <w:rStyle w:val="Gl"/>
          <w:sz w:val="20"/>
          <w:szCs w:val="20"/>
        </w:rPr>
        <w:t>İKİNCİ KISIM</w:t>
      </w:r>
    </w:p>
    <w:p w:rsidR="0081642E" w:rsidRPr="0081642E" w:rsidRDefault="0081642E" w:rsidP="0081642E">
      <w:pPr>
        <w:spacing w:after="0" w:line="280" w:lineRule="atLeast"/>
        <w:jc w:val="both"/>
        <w:rPr>
          <w:rFonts w:ascii="Times New Roman" w:hAnsi="Times New Roman" w:cs="Times New Roman"/>
          <w:sz w:val="20"/>
          <w:szCs w:val="20"/>
        </w:rPr>
      </w:pPr>
      <w:r w:rsidRPr="0081642E">
        <w:rPr>
          <w:rStyle w:val="Gl"/>
          <w:rFonts w:ascii="Times New Roman" w:hAnsi="Times New Roman" w:cs="Times New Roman"/>
          <w:sz w:val="20"/>
          <w:szCs w:val="20"/>
        </w:rPr>
        <w:t>Konusu Para Olan veya Para ile Değerlendirilebilen Hukuki Uyuşmazlıkların Dava Açılamadan Önce veya Açıldıktan Sonra Arabuluculuk Yoluyla Çözüme Kavuşturulmasının Sağlanmasında Arabulucuya Ödenecek Ücret</w:t>
      </w:r>
      <w:r w:rsidRPr="0081642E">
        <w:rPr>
          <w:rFonts w:ascii="Times New Roman" w:hAnsi="Times New Roman" w:cs="Times New Roman"/>
          <w:sz w:val="20"/>
          <w:szCs w:val="20"/>
        </w:rPr>
        <w:t> </w:t>
      </w:r>
    </w:p>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Üzerinde Anlaşılan Miktarın;</w:t>
      </w:r>
    </w:p>
    <w:tbl>
      <w:tblPr>
        <w:tblW w:w="8505" w:type="dxa"/>
        <w:jc w:val="center"/>
        <w:tblCellSpacing w:w="0" w:type="dxa"/>
        <w:tblCellMar>
          <w:left w:w="0" w:type="dxa"/>
          <w:right w:w="0" w:type="dxa"/>
        </w:tblCellMar>
        <w:tblLook w:val="04A0"/>
      </w:tblPr>
      <w:tblGrid>
        <w:gridCol w:w="363"/>
        <w:gridCol w:w="6979"/>
        <w:gridCol w:w="1163"/>
      </w:tblGrid>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1.</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İlk </w:t>
            </w:r>
            <w:r w:rsidRPr="0081642E">
              <w:rPr>
                <w:rStyle w:val="Gl"/>
                <w:sz w:val="20"/>
                <w:szCs w:val="20"/>
              </w:rPr>
              <w:t>25.000,00 TL</w:t>
            </w:r>
            <w:r w:rsidRPr="0081642E">
              <w:rPr>
                <w:sz w:val="20"/>
                <w:szCs w:val="20"/>
              </w:rPr>
              <w:t>’si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6</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9</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35.000,00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7,5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3.</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60.000,00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4</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6</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4.</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200.000,00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3</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lastRenderedPageBreak/>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4,5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5.</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500.000,00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2</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3</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6.</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680.000,00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1,5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2,5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7.</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Sonra gelen </w:t>
            </w:r>
            <w:r w:rsidRPr="0081642E">
              <w:rPr>
                <w:rStyle w:val="Gl"/>
                <w:sz w:val="20"/>
                <w:szCs w:val="20"/>
              </w:rPr>
              <w:t>1.250.000,00 TL</w:t>
            </w:r>
            <w:r w:rsidRPr="0081642E">
              <w:rPr>
                <w:sz w:val="20"/>
                <w:szCs w:val="20"/>
              </w:rPr>
              <w:t> 'si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1</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1,5</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8.</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2.750.000,00 TL</w:t>
            </w:r>
            <w:r w:rsidRPr="0081642E">
              <w:rPr>
                <w:sz w:val="20"/>
                <w:szCs w:val="20"/>
              </w:rPr>
              <w:t> '</w:t>
            </w:r>
            <w:proofErr w:type="gramStart"/>
            <w:r w:rsidRPr="0081642E">
              <w:rPr>
                <w:sz w:val="20"/>
                <w:szCs w:val="20"/>
              </w:rPr>
              <w:t>dan</w:t>
            </w:r>
            <w:proofErr w:type="gramEnd"/>
            <w:r w:rsidRPr="0081642E">
              <w:rPr>
                <w:sz w:val="20"/>
                <w:szCs w:val="20"/>
              </w:rPr>
              <w:t xml:space="preserve"> yukarısı için</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a) Bir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0,1</w:t>
            </w:r>
          </w:p>
        </w:tc>
      </w:tr>
      <w:tr w:rsidR="0081642E" w:rsidRPr="0081642E">
        <w:trPr>
          <w:trHeight w:val="420"/>
          <w:tblCellSpacing w:w="0" w:type="dxa"/>
          <w:jc w:val="center"/>
        </w:trPr>
        <w:tc>
          <w:tcPr>
            <w:tcW w:w="390" w:type="dxa"/>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 </w:t>
            </w:r>
          </w:p>
        </w:tc>
        <w:tc>
          <w:tcPr>
            <w:tcW w:w="7650"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sz w:val="20"/>
                <w:szCs w:val="20"/>
              </w:rPr>
              <w:t>b) Birden fazla arabulucu görev yaparsa</w:t>
            </w:r>
          </w:p>
        </w:tc>
        <w:tc>
          <w:tcPr>
            <w:tcW w:w="1275" w:type="dxa"/>
            <w:vAlign w:val="center"/>
            <w:hideMark/>
          </w:tcPr>
          <w:p w:rsidR="0081642E" w:rsidRPr="0081642E" w:rsidRDefault="0081642E" w:rsidP="0081642E">
            <w:pPr>
              <w:pStyle w:val="NormalWeb"/>
              <w:spacing w:before="0" w:beforeAutospacing="0" w:after="0" w:afterAutospacing="0" w:line="280" w:lineRule="atLeast"/>
              <w:rPr>
                <w:sz w:val="20"/>
                <w:szCs w:val="20"/>
              </w:rPr>
            </w:pPr>
            <w:r w:rsidRPr="0081642E">
              <w:rPr>
                <w:rStyle w:val="Gl"/>
                <w:sz w:val="20"/>
                <w:szCs w:val="20"/>
              </w:rPr>
              <w:t>% 0,2</w:t>
            </w:r>
          </w:p>
        </w:tc>
      </w:tr>
    </w:tbl>
    <w:p w:rsidR="0081642E" w:rsidRPr="0081642E" w:rsidRDefault="0081642E" w:rsidP="0081642E">
      <w:pPr>
        <w:spacing w:after="0" w:line="280" w:lineRule="atLeast"/>
        <w:rPr>
          <w:rFonts w:ascii="Times New Roman" w:hAnsi="Times New Roman" w:cs="Times New Roman"/>
          <w:sz w:val="20"/>
          <w:szCs w:val="20"/>
        </w:rPr>
      </w:pPr>
    </w:p>
    <w:sectPr w:rsidR="0081642E" w:rsidRPr="0081642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9F4"/>
    <w:rsid w:val="00104652"/>
    <w:rsid w:val="005319F4"/>
    <w:rsid w:val="005B3523"/>
    <w:rsid w:val="00627628"/>
    <w:rsid w:val="00636871"/>
    <w:rsid w:val="006B1380"/>
    <w:rsid w:val="0081642E"/>
    <w:rsid w:val="008545B0"/>
    <w:rsid w:val="009523F2"/>
    <w:rsid w:val="00DE672C"/>
    <w:rsid w:val="00EB44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19F4"/>
    <w:rPr>
      <w:strike w:val="0"/>
      <w:dstrike w:val="0"/>
      <w:color w:val="0000FF"/>
      <w:u w:val="none"/>
      <w:effect w:val="none"/>
    </w:rPr>
  </w:style>
  <w:style w:type="paragraph" w:styleId="NormalWeb">
    <w:name w:val="Normal (Web)"/>
    <w:basedOn w:val="Normal"/>
    <w:uiPriority w:val="99"/>
    <w:unhideWhenUsed/>
    <w:rsid w:val="005319F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5319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1652</Words>
  <Characters>9417</Characters>
  <Application>Microsoft Office Word</Application>
  <DocSecurity>0</DocSecurity>
  <Lines>78</Lines>
  <Paragraphs>22</Paragraphs>
  <ScaleCrop>false</ScaleCrop>
  <Company>TURMOB</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2013-12-30T06:46:00Z</dcterms:created>
  <dcterms:modified xsi:type="dcterms:W3CDTF">2013-12-30T07:02:00Z</dcterms:modified>
</cp:coreProperties>
</file>