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D5E4B" w:rsidRDefault="006E0A37" w:rsidP="00AD5E4B">
      <w:pPr>
        <w:spacing w:after="0" w:line="280" w:lineRule="atLeast"/>
        <w:jc w:val="both"/>
        <w:rPr>
          <w:rFonts w:ascii="Times New Roman" w:hAnsi="Times New Roman" w:cs="Times New Roman"/>
          <w:b/>
          <w:sz w:val="20"/>
          <w:szCs w:val="20"/>
          <w:u w:val="single"/>
        </w:rPr>
      </w:pPr>
      <w:r w:rsidRPr="00AD5E4B">
        <w:rPr>
          <w:rFonts w:ascii="Times New Roman" w:hAnsi="Times New Roman" w:cs="Times New Roman"/>
          <w:b/>
          <w:sz w:val="20"/>
          <w:szCs w:val="20"/>
          <w:u w:val="single"/>
        </w:rPr>
        <w:t>21</w:t>
      </w:r>
      <w:r w:rsidR="002A1073" w:rsidRPr="00AD5E4B">
        <w:rPr>
          <w:rFonts w:ascii="Times New Roman" w:hAnsi="Times New Roman" w:cs="Times New Roman"/>
          <w:b/>
          <w:sz w:val="20"/>
          <w:szCs w:val="20"/>
          <w:u w:val="single"/>
        </w:rPr>
        <w:t xml:space="preserve"> </w:t>
      </w:r>
      <w:r w:rsidR="00112323" w:rsidRPr="00AD5E4B">
        <w:rPr>
          <w:rFonts w:ascii="Times New Roman" w:hAnsi="Times New Roman" w:cs="Times New Roman"/>
          <w:b/>
          <w:sz w:val="20"/>
          <w:szCs w:val="20"/>
          <w:u w:val="single"/>
        </w:rPr>
        <w:t xml:space="preserve">Ocak </w:t>
      </w:r>
      <w:r w:rsidR="00802E28" w:rsidRPr="00AD5E4B">
        <w:rPr>
          <w:rFonts w:ascii="Times New Roman" w:hAnsi="Times New Roman" w:cs="Times New Roman"/>
          <w:b/>
          <w:sz w:val="20"/>
          <w:szCs w:val="20"/>
          <w:u w:val="single"/>
        </w:rPr>
        <w:t>201</w:t>
      </w:r>
      <w:r w:rsidR="00112323" w:rsidRPr="00AD5E4B">
        <w:rPr>
          <w:rFonts w:ascii="Times New Roman" w:hAnsi="Times New Roman" w:cs="Times New Roman"/>
          <w:b/>
          <w:sz w:val="20"/>
          <w:szCs w:val="20"/>
          <w:u w:val="single"/>
        </w:rPr>
        <w:t>4</w:t>
      </w:r>
      <w:r w:rsidR="00802E28" w:rsidRPr="00AD5E4B">
        <w:rPr>
          <w:rFonts w:ascii="Times New Roman" w:hAnsi="Times New Roman" w:cs="Times New Roman"/>
          <w:b/>
          <w:sz w:val="20"/>
          <w:szCs w:val="20"/>
          <w:u w:val="single"/>
        </w:rPr>
        <w:t>,</w:t>
      </w:r>
      <w:r w:rsidR="000370C9" w:rsidRPr="00AD5E4B">
        <w:rPr>
          <w:rFonts w:ascii="Times New Roman" w:hAnsi="Times New Roman" w:cs="Times New Roman"/>
          <w:b/>
          <w:sz w:val="20"/>
          <w:szCs w:val="20"/>
          <w:u w:val="single"/>
        </w:rPr>
        <w:t xml:space="preserve"> </w:t>
      </w:r>
      <w:r w:rsidR="000370C9" w:rsidRPr="00AD5E4B">
        <w:rPr>
          <w:rFonts w:ascii="Times New Roman" w:hAnsi="Times New Roman" w:cs="Times New Roman"/>
          <w:b/>
          <w:sz w:val="20"/>
          <w:szCs w:val="20"/>
          <w:u w:val="single"/>
        </w:rPr>
        <w:tab/>
      </w:r>
      <w:r w:rsidR="000370C9" w:rsidRPr="00AD5E4B">
        <w:rPr>
          <w:rFonts w:ascii="Times New Roman" w:hAnsi="Times New Roman" w:cs="Times New Roman"/>
          <w:b/>
          <w:sz w:val="20"/>
          <w:szCs w:val="20"/>
          <w:u w:val="single"/>
        </w:rPr>
        <w:tab/>
      </w:r>
      <w:r w:rsidR="000370C9" w:rsidRPr="00AD5E4B">
        <w:rPr>
          <w:rFonts w:ascii="Times New Roman" w:hAnsi="Times New Roman" w:cs="Times New Roman"/>
          <w:b/>
          <w:sz w:val="20"/>
          <w:szCs w:val="20"/>
          <w:u w:val="single"/>
        </w:rPr>
        <w:tab/>
      </w:r>
      <w:r w:rsidR="000370C9" w:rsidRPr="00AD5E4B">
        <w:rPr>
          <w:rFonts w:ascii="Times New Roman" w:hAnsi="Times New Roman" w:cs="Times New Roman"/>
          <w:b/>
          <w:sz w:val="20"/>
          <w:szCs w:val="20"/>
          <w:u w:val="single"/>
        </w:rPr>
        <w:tab/>
      </w:r>
      <w:r w:rsidR="000370C9" w:rsidRPr="00AD5E4B">
        <w:rPr>
          <w:rFonts w:ascii="Times New Roman" w:hAnsi="Times New Roman" w:cs="Times New Roman"/>
          <w:b/>
          <w:sz w:val="20"/>
          <w:szCs w:val="20"/>
          <w:u w:val="single"/>
        </w:rPr>
        <w:tab/>
      </w:r>
      <w:r w:rsidR="000370C9" w:rsidRPr="00AD5E4B">
        <w:rPr>
          <w:rFonts w:ascii="Times New Roman" w:hAnsi="Times New Roman" w:cs="Times New Roman"/>
          <w:b/>
          <w:sz w:val="20"/>
          <w:szCs w:val="20"/>
          <w:u w:val="single"/>
        </w:rPr>
        <w:tab/>
      </w:r>
      <w:r w:rsidR="002950D7" w:rsidRPr="00AD5E4B">
        <w:rPr>
          <w:rFonts w:ascii="Times New Roman" w:hAnsi="Times New Roman" w:cs="Times New Roman"/>
          <w:b/>
          <w:sz w:val="20"/>
          <w:szCs w:val="20"/>
          <w:u w:val="single"/>
        </w:rPr>
        <w:tab/>
      </w:r>
      <w:r w:rsidR="002A1073" w:rsidRPr="00AD5E4B">
        <w:rPr>
          <w:rFonts w:ascii="Times New Roman" w:hAnsi="Times New Roman" w:cs="Times New Roman"/>
          <w:b/>
          <w:sz w:val="20"/>
          <w:szCs w:val="20"/>
          <w:u w:val="single"/>
        </w:rPr>
        <w:tab/>
      </w:r>
      <w:r w:rsidRPr="00AD5E4B">
        <w:rPr>
          <w:rFonts w:ascii="Times New Roman" w:hAnsi="Times New Roman" w:cs="Times New Roman"/>
          <w:b/>
          <w:sz w:val="20"/>
          <w:szCs w:val="20"/>
          <w:u w:val="single"/>
        </w:rPr>
        <w:t xml:space="preserve"> </w:t>
      </w:r>
      <w:r w:rsidRPr="00AD5E4B">
        <w:rPr>
          <w:rFonts w:ascii="Times New Roman" w:hAnsi="Times New Roman" w:cs="Times New Roman"/>
          <w:b/>
          <w:sz w:val="20"/>
          <w:szCs w:val="20"/>
          <w:u w:val="single"/>
        </w:rPr>
        <w:tab/>
      </w:r>
      <w:r w:rsidRPr="00AD5E4B">
        <w:rPr>
          <w:rFonts w:ascii="Times New Roman" w:hAnsi="Times New Roman" w:cs="Times New Roman"/>
          <w:b/>
          <w:sz w:val="20"/>
          <w:szCs w:val="20"/>
          <w:u w:val="single"/>
        </w:rPr>
        <w:tab/>
        <w:t>Sayı : 28889</w:t>
      </w:r>
    </w:p>
    <w:p w:rsidR="0099649F" w:rsidRPr="00AD5E4B" w:rsidRDefault="0099649F" w:rsidP="00AD5E4B">
      <w:pPr>
        <w:spacing w:after="0" w:line="280" w:lineRule="atLeast"/>
        <w:jc w:val="both"/>
        <w:rPr>
          <w:rFonts w:ascii="Times New Roman" w:hAnsi="Times New Roman" w:cs="Times New Roman"/>
          <w:b/>
          <w:sz w:val="20"/>
          <w:szCs w:val="20"/>
          <w:u w:val="single"/>
        </w:rPr>
      </w:pPr>
    </w:p>
    <w:p w:rsid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Bilgi Teknolojileri ve İletişim Kurumundan</w:t>
      </w:r>
    </w:p>
    <w:p w:rsidR="00AD5E4B" w:rsidRPr="00AD5E4B" w:rsidRDefault="00AD5E4B" w:rsidP="00AD5E4B">
      <w:pPr>
        <w:spacing w:after="0" w:line="280" w:lineRule="atLeast"/>
        <w:jc w:val="both"/>
        <w:rPr>
          <w:rFonts w:ascii="Times New Roman" w:hAnsi="Times New Roman" w:cs="Times New Roman"/>
          <w:sz w:val="20"/>
          <w:szCs w:val="20"/>
        </w:rPr>
      </w:pPr>
    </w:p>
    <w:p w:rsidR="00AD5E4B" w:rsidRPr="00AD5E4B" w:rsidRDefault="00AD5E4B" w:rsidP="00AD5E4B">
      <w:pPr>
        <w:pStyle w:val="NormalWeb"/>
        <w:spacing w:before="0" w:beforeAutospacing="0" w:after="0" w:afterAutospacing="0" w:line="280" w:lineRule="atLeast"/>
        <w:jc w:val="center"/>
        <w:rPr>
          <w:sz w:val="20"/>
          <w:szCs w:val="20"/>
        </w:rPr>
      </w:pPr>
      <w:r w:rsidRPr="00AD5E4B">
        <w:rPr>
          <w:b/>
          <w:bCs/>
          <w:sz w:val="20"/>
          <w:szCs w:val="20"/>
        </w:rPr>
        <w:t>ELEKTRONİK HABERLEŞME SEKTÖRÜNDE HİZMET KALİTESİ YÖNETMELİĞİNDE DEĞİŞİKLİK YAPILMASINA DAİR YÖNETMELİK</w:t>
      </w:r>
    </w:p>
    <w:p w:rsidR="00AD5E4B" w:rsidRPr="00AD5E4B" w:rsidRDefault="00AD5E4B" w:rsidP="00AD5E4B">
      <w:pPr>
        <w:spacing w:after="0" w:line="280" w:lineRule="atLeast"/>
        <w:jc w:val="both"/>
        <w:rPr>
          <w:rFonts w:ascii="Times New Roman" w:hAnsi="Times New Roman" w:cs="Times New Roman"/>
          <w:sz w:val="20"/>
          <w:szCs w:val="20"/>
        </w:rPr>
      </w:pPr>
      <w:r w:rsidRPr="00AD5E4B">
        <w:rPr>
          <w:rStyle w:val="Gl"/>
          <w:rFonts w:ascii="Times New Roman" w:hAnsi="Times New Roman" w:cs="Times New Roman"/>
          <w:sz w:val="20"/>
          <w:szCs w:val="20"/>
        </w:rPr>
        <w:t>MADDE 1 − </w:t>
      </w:r>
      <w:r w:rsidRPr="00AD5E4B">
        <w:rPr>
          <w:rFonts w:ascii="Times New Roman" w:hAnsi="Times New Roman" w:cs="Times New Roman"/>
          <w:sz w:val="20"/>
          <w:szCs w:val="20"/>
        </w:rPr>
        <w:t>12/9/2010 tarihli ve 27697 sayılı Resmi Gazete’de yayımlanan Elektronik Haberleşme Sektöründe Hizmet Kalitesi Yönetmeliğinin 3 üncü maddesinin birinci fıkrasının (ö) bendi aşağıdaki şekilde değiştirilmiş, aynı fıkraya aşağıdaki (t), (u), (ü) ve (v) bentleri eklenmiştir.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“ö) Alt menüde geçen süre: Ana menüde temel başlıklardan birini seçen son kullanıcının yaptığı tuşlama ile başlayan ve gerçek kişiye bağlanma seçeneğinin sunulduğu ana kadar sesli yanıt sisteminde geçen ve saniye cinsinden ölçülen süreyi,”</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“t) Engelli abone: Özür oranı %40 ve üzerinde olan ve işletmecinin sisteminde kayıtlı aboneleri,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u) Başarısız erişim oranı (HTTP): Http hizmetine erişim için başarısız erişim teşebbüsü sayısının tüm erişim teşebbüsü sayısına oranını,</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ü) Başarısız veri indirme oranı (HTTP): İnternet sayfası içeriğinin başarılı bir şekilde görüntülenmesi için; indirme işlemi başlatılan ancak tamamlanamayan veri indirme sayısının toplam başarılı olarak başlatılan veri indirme sayısına oranını,</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v) HTTP: Bağlantılı Metin Aktarım Protokolü (Hyper Text Transfer Protocol),”</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MADDE 2 – </w:t>
      </w:r>
      <w:r w:rsidRPr="00AD5E4B">
        <w:rPr>
          <w:sz w:val="20"/>
          <w:szCs w:val="20"/>
        </w:rPr>
        <w:t>Aynı Yönetmeliğin 5 inci maddesinin ikinci fıkrası aşağıdaki şekilde değiştirilmiştir.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xml:space="preserve">“(2) Evrensel hizmet yükümlüsü sabit telefon hizmeti sunan işletmeciler Ek-1’deki, GSM mobil telefon hizmeti sunan işletmeciler Ek-2’deki, internet servis sağlayıcılığı hizmeti sunan işletmecilerden tebliğ veya Kurul kararı ile belirlenenler Ek-3’teki, son kullanıcılara hizmet veren işletmecilerden tebliğ veya Kurul kararı ile belirlenenler Ek-4’teki,IMT-2000/UMTS mobil telefon hizmeti sunan işletmeciler Ek-5’teki ölçütlere ilişkin hedeflere uymakla ve verileri Kuruma göndermekle yükümlüdür.”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Style w:val="Gl"/>
          <w:rFonts w:ascii="Times New Roman" w:hAnsi="Times New Roman" w:cs="Times New Roman"/>
          <w:sz w:val="20"/>
          <w:szCs w:val="20"/>
        </w:rPr>
        <w:t>MADDE 3 – </w:t>
      </w:r>
      <w:r w:rsidRPr="00AD5E4B">
        <w:rPr>
          <w:rFonts w:ascii="Times New Roman" w:hAnsi="Times New Roman" w:cs="Times New Roman"/>
          <w:sz w:val="20"/>
          <w:szCs w:val="20"/>
        </w:rPr>
        <w:t>Aynı Yönetmeliğin 6 ncı maddesi yürürlükten kaldırılmıştır.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Style w:val="Gl"/>
          <w:rFonts w:ascii="Times New Roman" w:hAnsi="Times New Roman" w:cs="Times New Roman"/>
          <w:sz w:val="20"/>
          <w:szCs w:val="20"/>
        </w:rPr>
        <w:t>MADDE 4 – </w:t>
      </w:r>
      <w:r w:rsidRPr="00AD5E4B">
        <w:rPr>
          <w:rFonts w:ascii="Times New Roman" w:hAnsi="Times New Roman" w:cs="Times New Roman"/>
          <w:sz w:val="20"/>
          <w:szCs w:val="20"/>
        </w:rPr>
        <w:t>Aynı Yönetmeliğin 9 uncu maddesinin birinci ve üçüncü fıkraları aşağıdaki şekilde değiştirilmiştir.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xml:space="preserve">“(1) İşletmecinin bir takvim yılı içindeki herhangi bir raporlama döneminde hizmet kalitesi ölçütlerine ilişkin bir veya daha fazla hedef değeri sağlayamaması durumunda Kurul tarafından kabul edilen haklı nedenleri olmaması halindeişletmeci bir defaya mahsus yazılı olarak uyarılır ve ilgili raporlama döneminde hizmet kalitesi yükümlülüklerini yerine getirmediği Kurum internet sayfasında bir ay süreyle duyurulur.”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“(3) İşletmecinin bir takvim yılı içinde birden fazla aynı veya farklı hizmet kalitesi ölçütlerine ilişkin herhangi bir hedef değeri Kurul tarafından kabul edilen haklı nedenler olmaksızın sağlayamaması veya ikinci fıkraya göre Kurum tarafından verilen süre içerisinde gerekli düzeltmeleri yapmaması veya bilgi ve belgeleri vermemesi durumunda 5/9/2004 tarihli ve 25574 sayılı Resmî Gazete’de yayımlanan Telekomünikasyon Kurumu Tarafından İşletmecilere Uygulanacak İdari Para Cezaları ile Diğer Müeyyide ve Tedbirler Hakkında Yönetmelik hükümleri uygulanır.”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Style w:val="Gl"/>
          <w:rFonts w:ascii="Times New Roman" w:hAnsi="Times New Roman" w:cs="Times New Roman"/>
          <w:sz w:val="20"/>
          <w:szCs w:val="20"/>
        </w:rPr>
        <w:t>MADDE 5 – </w:t>
      </w:r>
      <w:r w:rsidRPr="00AD5E4B">
        <w:rPr>
          <w:rFonts w:ascii="Times New Roman" w:hAnsi="Times New Roman" w:cs="Times New Roman"/>
          <w:sz w:val="20"/>
          <w:szCs w:val="20"/>
        </w:rPr>
        <w:t>Aynı Yönetmelikte yer alan Ek-1, Ek-2, Ek-3, Ek-4 aşağıdaki şekilde değiştirilmiş ve sonuna Ek-5 eklenmiştir.</w:t>
      </w:r>
      <w:r w:rsidRPr="00AD5E4B">
        <w:rPr>
          <w:rStyle w:val="Gl"/>
          <w:rFonts w:ascii="Times New Roman" w:hAnsi="Times New Roman" w:cs="Times New Roman"/>
          <w:sz w:val="20"/>
          <w:szCs w:val="20"/>
        </w:rPr>
        <w:t> </w:t>
      </w:r>
    </w:p>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w:t>
      </w:r>
      <w:r w:rsidRPr="00AD5E4B">
        <w:rPr>
          <w:rStyle w:val="Gl"/>
          <w:sz w:val="20"/>
          <w:szCs w:val="20"/>
        </w:rPr>
        <w:t>EK-1</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lastRenderedPageBreak/>
        <w:t>(Evrensel Hizmet Yükümlüsü Sabit Telefon Hizmeti Sunan İşletmeciler)</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İLGİLİ DÖNEM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ADI - ÜNVANI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YETKİLENDİRME TÜRÜ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78"/>
        <w:gridCol w:w="4120"/>
        <w:gridCol w:w="1172"/>
        <w:gridCol w:w="1035"/>
      </w:tblGrid>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Hizmet Kalitesi Ölçütü</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İlgili Veriler</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Ölçüm Değeri</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Hedef Değerler</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Bağlantı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taleplerin en hızlı karşılanan %95’inin yerine getirilmesinde geçen süre</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…Gün</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6</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Arıza bildirme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Geçerli arıza sayısının toplam kullanılan abone hattı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2.2</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Arıza giderme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geçerli arızaların en hızlı karşılanan % 95’inin giderildiği süre</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90</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Abonelere Yönelik Arıza giderme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 tarafından bildirilen tüm geçerli arızaların en hızlı karşılanan % 95’inin giderildiği süre</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48</w:t>
            </w:r>
          </w:p>
        </w:tc>
      </w:tr>
      <w:tr w:rsidR="00AD5E4B" w:rsidRPr="00AD5E4B">
        <w:trPr>
          <w:trHeight w:val="675"/>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blokaj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Ulusal aramalarda arama blokaj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1.5</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Uluslararası aramalarda arama blokaj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2.5</w:t>
            </w:r>
          </w:p>
        </w:tc>
      </w:tr>
      <w:tr w:rsidR="00AD5E4B" w:rsidRPr="00AD5E4B">
        <w:trPr>
          <w:trHeight w:val="675"/>
          <w:tblCellSpacing w:w="0" w:type="dxa"/>
          <w:jc w:val="center"/>
        </w:trPr>
        <w:tc>
          <w:tcPr>
            <w:tcW w:w="2265" w:type="dxa"/>
            <w:vMerge w:val="restart"/>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Aramanın kurulma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Ulusal aramalar için ortalama kurulma süresi</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3</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Uluslararası aramalar için ortalama kurulma süresi</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7</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Çalışır durumdaki ankesörlü telefonların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Çalışır durumdaki ankesörlü telefon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95</w:t>
            </w:r>
          </w:p>
        </w:tc>
      </w:tr>
      <w:tr w:rsidR="00AD5E4B" w:rsidRPr="00AD5E4B">
        <w:trPr>
          <w:trHeight w:val="675"/>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Fatura şikâyeti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Abone şikâyetlerinin olduğu fatura sayısının toplam fatura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w:t>
            </w:r>
          </w:p>
        </w:tc>
      </w:tr>
    </w:tbl>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EK-2</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 xml:space="preserve">(GSM Mobil Telefon Hizmeti Sunan İşletmeciler)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İLGİLİ DÖNEM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ADI - ÜNVANI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YETKİLENDİRME TÜRÜ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0"/>
        <w:gridCol w:w="4077"/>
        <w:gridCol w:w="1136"/>
        <w:gridCol w:w="1012"/>
      </w:tblGrid>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Hizmet Kalitesi Ölçütü</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İlgili Veriler</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Ölçüm Değeri</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Hedef Değerler</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başarısızlık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başarısızlık sayısının toplam başarılı arama girişimi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blokaj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Bloke edilmiş aramaların, toplam aramalara oranıdır</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5</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lastRenderedPageBreak/>
              <w:t>Arıza giderme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geçerli arızaların en hızlı karşılanan % 95’inin giderildiği süre</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48</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Abonelere Yönelik Arıza giderme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 tarafından bildirilen tüm geçerli arızaların en hızlı karşılanan % 95’inin giderildiği süre</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24</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Aramanın kurulma süresi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 kısa sürede kurulan %95’lik aramanın kurulum süresi</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10</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Ortalama kanaat değeri</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Kullanıcı tarafından algılanan ses kalitesi değeri</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MOS</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3,5/5</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Fatura şikâyeti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Abone şikayetlerinin olduğu fatura sayısının toplam fatura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Ön ödemeli hatlarda kredişikayeti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Abone şikayetlerinin olduğu ön ödemeli abone sayısının toplam ön ödemeli abone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w:t>
            </w:r>
          </w:p>
        </w:tc>
      </w:tr>
      <w:tr w:rsidR="00AD5E4B" w:rsidRPr="00AD5E4B">
        <w:trPr>
          <w:trHeight w:val="675"/>
          <w:tblCellSpacing w:w="0" w:type="dxa"/>
          <w:jc w:val="center"/>
        </w:trPr>
        <w:tc>
          <w:tcPr>
            <w:tcW w:w="2445" w:type="dxa"/>
            <w:vMerge w:val="restart"/>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KMH tamamlanma oranı*</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kısa mesaj teslim süresi içerisinde başarılı bir şekilde iletilen KMH sayısının gönderilen toplam KMH sayısına oranı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95</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KMH için yapılan gözlem sayısı ve gözlemin yapıldığı zaman aralığı</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Adet</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Dönem</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r>
      <w:tr w:rsidR="00AD5E4B" w:rsidRPr="00AD5E4B">
        <w:trPr>
          <w:trHeight w:val="675"/>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KMH teslim süresi*</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c>
          <w:tcPr>
            <w:tcW w:w="45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en kısa sürede gönderilen %99’lukKMH’nin teslim süresi</w:t>
            </w:r>
          </w:p>
        </w:tc>
        <w:tc>
          <w:tcPr>
            <w:tcW w:w="126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08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15</w:t>
            </w:r>
          </w:p>
        </w:tc>
      </w:tr>
    </w:tbl>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 EK-3</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 xml:space="preserve">(İnternet Servis Sağlayıcılığı Hizmeti Sunan İşletmeciler)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İLGİLİ DÖNEM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ADI - ÜNVANI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YETKİLENDİRME TÜRÜ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5"/>
        <w:gridCol w:w="4166"/>
        <w:gridCol w:w="1223"/>
        <w:gridCol w:w="1361"/>
      </w:tblGrid>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Hizmet Kalitesi Ölçütü</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İlgili Veriler</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Ölçüm Değeri</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Hedef Değerler</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Veri aktarım hızı</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Ortalama veri aktarım hızı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…(kbit/sn)</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Duyurulan Bağlantı hızının %75’i</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Bağlantı süresi</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taleplerin en hızlı karşılanan %95’inin yerine getirilmesinde geçen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…Gün</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Taahhüt edilen bağlantı süresi</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Fatura şikâyeti oranı</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Abone şikâyetlerinin olduğu fatura sayısının toplam fatura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1</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Arıza giderme süresi</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geçerli arızaların en hızlı karşılanan % 95’inin giderildiği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…Saat</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Engelli Abonelere Yönelik Arıza giderme süresi</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 tarafından bildirilen tüm geçerli arızaların en hızlı karşılanan % 95’inin giderildiği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…Saat</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w:t>
            </w:r>
          </w:p>
        </w:tc>
      </w:tr>
    </w:tbl>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lastRenderedPageBreak/>
        <w:t>EK-4</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(SON KULLANICILARA HİZMET VEREN İŞLETMECİLER)</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İLGİLİ DÖNEM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ADI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ÜNVANI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66"/>
        <w:gridCol w:w="4212"/>
        <w:gridCol w:w="1182"/>
        <w:gridCol w:w="1345"/>
      </w:tblGrid>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Hizmet Kalitesi Ölçütü</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İlgili Veriler</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Ölçüm Değeri</w:t>
            </w:r>
          </w:p>
        </w:tc>
        <w:tc>
          <w:tcPr>
            <w:tcW w:w="1440" w:type="dxa"/>
            <w:tcBorders>
              <w:top w:val="outset" w:sz="6" w:space="0" w:color="auto"/>
              <w:left w:val="outset" w:sz="6" w:space="0" w:color="auto"/>
              <w:bottom w:val="outset" w:sz="6" w:space="0" w:color="auto"/>
              <w:right w:val="outset" w:sz="6" w:space="0" w:color="auto"/>
            </w:tcBorders>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Hedef Değerler</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Ana menüde geçen süre1</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Sesli yanıt sistemi ana menüsünün toplam süresi.</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45</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Alt menüde geçen süre</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Alt menüde, çağrı merkezindeki gerçek kişiye bağlanma seçeneğinin sunulduğu ana kadar geçen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20</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Müşteri hizmetleri için cevap verme süresi</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20 saniye içinde cevaplanan aramaların yüzdesi</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80</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Tüketici şikâyeti sıklığı</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Aylık toplam şikâyet sayısının toplam abone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Adet</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r>
      <w:tr w:rsidR="00AD5E4B" w:rsidRPr="00AD5E4B">
        <w:trPr>
          <w:trHeight w:val="675"/>
          <w:tblCellSpacing w:w="0" w:type="dxa"/>
          <w:jc w:val="center"/>
        </w:trPr>
        <w:tc>
          <w:tcPr>
            <w:tcW w:w="190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Tüketici şikâyetleri çözüm süresi</w:t>
            </w:r>
          </w:p>
        </w:tc>
        <w:tc>
          <w:tcPr>
            <w:tcW w:w="466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 kısa sürede sonuçlandırılan % 80’lik dilim içerisindeki şikâyetlerin çözüm süresi</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Saat</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24</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r>
    </w:tbl>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xml:space="preserve">1 Sesli yanıt sistemi kullanan işletmeci için geçerli ölçüt ve değerdir. </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EK-5</w:t>
      </w:r>
    </w:p>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(IMT-2000/UMTS MOBİL HABERLEŞME HİZMETİ SUNAN İŞLETMECİLER)</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İLGİLİ DÖNEM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ADI                 :</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İŞLETMECİNİN ÜNVANI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0"/>
        <w:gridCol w:w="4323"/>
        <w:gridCol w:w="1137"/>
        <w:gridCol w:w="1255"/>
      </w:tblGrid>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Hizmet Kalitesi Ölçütü</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İlgili Veriler</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Ölçüm Değeri</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Hedef Değerler</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başarısızlık oranı</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başarısızlık sayısının toplam başarılı arama girişimi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≤2</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Arama blokaj oranı</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Bloke edilmiş aramaların, toplam aramalara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≤5</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Arıza giderme süresi</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geçerli arızaların en hızlı karşılanan % 95’inin giderildiği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48</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Abonelere Yönelik Arıza giderme süresi</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Engelli aboneler tarafından bildirilen tüm geçerli arızaların en hızlı karşılanan % 95’inin giderildiği süre</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…Saat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24</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Ortalama kanaat değeri</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Kullanıcı tarafından algılanan ses kalitesi değeri</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MOS</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≥3,5/5</w:t>
            </w:r>
          </w:p>
        </w:tc>
      </w:tr>
      <w:tr w:rsidR="00AD5E4B" w:rsidRPr="00AD5E4B">
        <w:trPr>
          <w:trHeight w:val="675"/>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KMH tamamlanma oranı*</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kısa mesaj teslim süresi içerisinde başarılı bir şekilde iletilen KMH sayısının gönderilen toplam KMH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≥95</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KMH için yapılan gözlem sayısı ve gözlemin yapıldığı zaman aralığı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Adet</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Dönem</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KMH teslim süresi*</w:t>
            </w:r>
          </w:p>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Uçtan uca en kısa sürede gönderilen %99’lukKMH’nin teslim süresi</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Saniye</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≤15</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Başarısız erişim oranı (http)</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Başarısız erişim teşebbüsü sayısının  tüm erişim teşebbüsü sayısına oranın</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≤5</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Başarısız veri indirme oranı (http)</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İnternet sayfası indirme işlemi başlatılan ancak tamamlanamayan indirme sayısının, başarılı olarak başlatılan toplam indirme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≤5</w:t>
            </w:r>
          </w:p>
        </w:tc>
      </w:tr>
      <w:tr w:rsidR="00AD5E4B" w:rsidRPr="00AD5E4B">
        <w:trPr>
          <w:trHeight w:val="675"/>
          <w:tblCellSpacing w:w="0" w:type="dxa"/>
          <w:jc w:val="center"/>
        </w:trPr>
        <w:tc>
          <w:tcPr>
            <w:tcW w:w="1845" w:type="dxa"/>
            <w:vMerge w:val="restart"/>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Veri aktarım hızı (ftp)</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başarılı indirme işlemlerinin en hızlı %95’inin ortalama veri aktarım hızı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Kbit/sn</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≥768</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Başarılı indirme işlemlerinin %99’unun her biri için ortalama asgari veri aktarım hızı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Kbit/sn</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≥256</w:t>
            </w:r>
          </w:p>
        </w:tc>
      </w:tr>
      <w:tr w:rsidR="00AD5E4B" w:rsidRPr="00AD5E4B">
        <w:trPr>
          <w:trHeight w:val="67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spacing w:after="0" w:line="280" w:lineRule="atLeast"/>
              <w:rPr>
                <w:rFonts w:ascii="Times New Roman" w:hAnsi="Times New Roman" w:cs="Times New Roman"/>
                <w:color w:val="000000"/>
                <w:sz w:val="20"/>
                <w:szCs w:val="20"/>
              </w:rPr>
            </w:pP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Tüm başarılı gönderme işlemlerinin en hızlı %95’inin ortalama veri aktarım hızı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Kbit/sn</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≥256</w:t>
            </w:r>
          </w:p>
        </w:tc>
      </w:tr>
      <w:tr w:rsidR="00AD5E4B" w:rsidRPr="00AD5E4B">
        <w:trPr>
          <w:trHeight w:val="675"/>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Fatura şikâyeti oranı</w:t>
            </w:r>
          </w:p>
        </w:tc>
        <w:tc>
          <w:tcPr>
            <w:tcW w:w="480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Abone şikâyetlerinin olduğu fatura sayısının toplam fatura sayısına oranı</w:t>
            </w:r>
          </w:p>
        </w:tc>
        <w:tc>
          <w:tcPr>
            <w:tcW w:w="127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rPr>
                <w:sz w:val="20"/>
                <w:szCs w:val="20"/>
              </w:rPr>
            </w:pPr>
            <w:r w:rsidRPr="00AD5E4B">
              <w:rPr>
                <w:sz w:val="20"/>
                <w:szCs w:val="20"/>
              </w:rPr>
              <w:t>≤ 1</w:t>
            </w:r>
          </w:p>
        </w:tc>
      </w:tr>
    </w:tbl>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Ek-2 ve Ek-5’te yer alan KMH tamamlanma oranı ve uçtan uca KMH teslim süresi ölçütlerine ilişkin hesaplama, bildirim ve değerlendirmeler GSM ve IMT-2000/UMTS şebekeleri için tek veri grubu olarak dikkate alınacaktır.”</w:t>
      </w:r>
    </w:p>
    <w:p w:rsidR="00AD5E4B" w:rsidRPr="00AD5E4B" w:rsidRDefault="00AD5E4B" w:rsidP="00AD5E4B">
      <w:pPr>
        <w:spacing w:after="0" w:line="280" w:lineRule="atLeast"/>
        <w:jc w:val="both"/>
        <w:rPr>
          <w:rFonts w:ascii="Times New Roman" w:hAnsi="Times New Roman" w:cs="Times New Roman"/>
          <w:sz w:val="20"/>
          <w:szCs w:val="20"/>
        </w:rPr>
      </w:pPr>
      <w:r w:rsidRPr="00AD5E4B">
        <w:rPr>
          <w:rFonts w:ascii="Times New Roman" w:hAnsi="Times New Roman" w:cs="Times New Roman"/>
          <w:sz w:val="20"/>
          <w:szCs w:val="20"/>
        </w:rPr>
        <w:t> </w:t>
      </w:r>
    </w:p>
    <w:p w:rsidR="00AD5E4B" w:rsidRPr="00AD5E4B" w:rsidRDefault="00AD5E4B" w:rsidP="00AD5E4B">
      <w:pPr>
        <w:spacing w:after="0" w:line="280" w:lineRule="atLeast"/>
        <w:jc w:val="both"/>
        <w:rPr>
          <w:rFonts w:ascii="Times New Roman" w:hAnsi="Times New Roman" w:cs="Times New Roman"/>
          <w:sz w:val="20"/>
          <w:szCs w:val="20"/>
        </w:rPr>
      </w:pPr>
      <w:r w:rsidRPr="00AD5E4B">
        <w:rPr>
          <w:rStyle w:val="Gl"/>
          <w:rFonts w:ascii="Times New Roman" w:hAnsi="Times New Roman" w:cs="Times New Roman"/>
          <w:sz w:val="20"/>
          <w:szCs w:val="20"/>
        </w:rPr>
        <w:t>MADDE 6 – </w:t>
      </w:r>
      <w:r w:rsidRPr="00AD5E4B">
        <w:rPr>
          <w:rFonts w:ascii="Times New Roman" w:hAnsi="Times New Roman" w:cs="Times New Roman"/>
          <w:sz w:val="20"/>
          <w:szCs w:val="20"/>
        </w:rPr>
        <w:t>Bu Yönetmeliğin Ek-3’ünde yer alan “Arıza giderme süresi” ile “Engelli abonelere yönelik arıza giderme süresi”ne ilişkin hükümleri 31/12/2014 tarihinde, Ek-5’i Yönetmeliğin yayımından 6 ay sonra, diğer hükümleri yayımı tarihinde yürürlüğe girer.</w:t>
      </w:r>
    </w:p>
    <w:p w:rsidR="00AD5E4B" w:rsidRPr="00AD5E4B" w:rsidRDefault="00AD5E4B" w:rsidP="00AD5E4B">
      <w:pPr>
        <w:pStyle w:val="NormalWeb"/>
        <w:spacing w:before="0" w:beforeAutospacing="0" w:after="0" w:afterAutospacing="0" w:line="280" w:lineRule="atLeast"/>
        <w:rPr>
          <w:sz w:val="20"/>
          <w:szCs w:val="20"/>
        </w:rPr>
      </w:pPr>
      <w:r w:rsidRPr="00AD5E4B">
        <w:rPr>
          <w:rStyle w:val="Gl"/>
          <w:sz w:val="20"/>
          <w:szCs w:val="20"/>
        </w:rPr>
        <w:t>MADDE 7 – </w:t>
      </w:r>
      <w:r w:rsidRPr="00AD5E4B">
        <w:rPr>
          <w:sz w:val="20"/>
          <w:szCs w:val="20"/>
        </w:rPr>
        <w:t>Bu Yönetmelik hükümlerini Bilgi Teknolojileri ve İletişim Kurulu Başkanı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AD5E4B" w:rsidRPr="00AD5E4B">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Yönetmeliğin Yayımlandığı Resmî Gazete'nin</w:t>
            </w:r>
          </w:p>
        </w:tc>
      </w:tr>
      <w:tr w:rsidR="00AD5E4B" w:rsidRPr="00AD5E4B">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Sayısı</w:t>
            </w:r>
          </w:p>
        </w:tc>
      </w:tr>
      <w:tr w:rsidR="00AD5E4B" w:rsidRPr="00AD5E4B">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xml:space="preserve">12/9/2010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27697</w:t>
            </w:r>
          </w:p>
        </w:tc>
      </w:tr>
      <w:tr w:rsidR="00AD5E4B" w:rsidRPr="00AD5E4B">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Yönetmelikte Değişiklik Yapan Yönetmeliklerin Yayımlandığı Resmî Gazete'nin</w:t>
            </w:r>
          </w:p>
        </w:tc>
      </w:tr>
      <w:tr w:rsidR="00AD5E4B" w:rsidRPr="00AD5E4B">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rStyle w:val="Gl"/>
                <w:sz w:val="20"/>
                <w:szCs w:val="20"/>
              </w:rPr>
              <w:t>Sayısı</w:t>
            </w:r>
          </w:p>
        </w:tc>
      </w:tr>
      <w:tr w:rsidR="00AD5E4B" w:rsidRPr="00AD5E4B">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xml:space="preserve">15/4/2011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27906</w:t>
            </w:r>
          </w:p>
        </w:tc>
      </w:tr>
      <w:tr w:rsidR="00AD5E4B" w:rsidRPr="00AD5E4B">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 xml:space="preserve">11/3/2013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D5E4B" w:rsidRPr="00AD5E4B" w:rsidRDefault="00AD5E4B" w:rsidP="00AD5E4B">
            <w:pPr>
              <w:pStyle w:val="NormalWeb"/>
              <w:spacing w:before="0" w:beforeAutospacing="0" w:after="0" w:afterAutospacing="0" w:line="280" w:lineRule="atLeast"/>
              <w:jc w:val="center"/>
              <w:rPr>
                <w:sz w:val="20"/>
                <w:szCs w:val="20"/>
              </w:rPr>
            </w:pPr>
            <w:r w:rsidRPr="00AD5E4B">
              <w:rPr>
                <w:sz w:val="20"/>
                <w:szCs w:val="20"/>
              </w:rPr>
              <w:t>28584</w:t>
            </w:r>
          </w:p>
        </w:tc>
      </w:tr>
    </w:tbl>
    <w:p w:rsidR="00AD5E4B" w:rsidRPr="00AD5E4B" w:rsidRDefault="00AD5E4B" w:rsidP="00AD5E4B">
      <w:pPr>
        <w:spacing w:after="0" w:line="280" w:lineRule="atLeast"/>
        <w:jc w:val="both"/>
        <w:rPr>
          <w:rFonts w:ascii="Times New Roman" w:hAnsi="Times New Roman" w:cs="Times New Roman"/>
          <w:b/>
          <w:sz w:val="20"/>
          <w:szCs w:val="20"/>
          <w:u w:val="single"/>
        </w:rPr>
      </w:pPr>
    </w:p>
    <w:sectPr w:rsidR="00AD5E4B" w:rsidRPr="00AD5E4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73B" w:rsidRDefault="0061073B" w:rsidP="00CE6B7C">
      <w:pPr>
        <w:spacing w:after="0" w:line="240" w:lineRule="auto"/>
      </w:pPr>
      <w:r>
        <w:separator/>
      </w:r>
    </w:p>
  </w:endnote>
  <w:endnote w:type="continuationSeparator" w:id="0">
    <w:p w:rsidR="0061073B" w:rsidRDefault="0061073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66B04">
        <w:pPr>
          <w:pStyle w:val="Altbilgi"/>
          <w:jc w:val="center"/>
        </w:pPr>
        <w:fldSimple w:instr=" PAGE   \* MERGEFORMAT ">
          <w:r w:rsidR="00AD5E4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73B" w:rsidRDefault="0061073B" w:rsidP="00CE6B7C">
      <w:pPr>
        <w:spacing w:after="0" w:line="240" w:lineRule="auto"/>
      </w:pPr>
      <w:r>
        <w:separator/>
      </w:r>
    </w:p>
  </w:footnote>
  <w:footnote w:type="continuationSeparator" w:id="0">
    <w:p w:rsidR="0061073B" w:rsidRDefault="0061073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9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1540</Words>
  <Characters>8779</Characters>
  <Application>Microsoft Office Word</Application>
  <DocSecurity>0</DocSecurity>
  <Lines>73</Lines>
  <Paragraphs>20</Paragraphs>
  <ScaleCrop>false</ScaleCrop>
  <Company>TURMOB</Company>
  <LinksUpToDate>false</LinksUpToDate>
  <CharactersWithSpaces>10299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579</cp:revision>
  <cp:lastPrinted>2013-12-13T06:43:00Z</cp:lastPrinted>
  <dcterms:created xsi:type="dcterms:W3CDTF">2013-06-03T05:31:00Z</dcterms:created>
  <dcterms:modified xsi:type="dcterms:W3CDTF">2014-01-21T06:45:00Z</dcterms:modified>
</cp:coreProperties>
</file>