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904BC" w:rsidRDefault="00BF212E" w:rsidP="00A704E3">
      <w:pPr>
        <w:spacing w:after="0" w:line="280" w:lineRule="atLeast"/>
        <w:jc w:val="both"/>
        <w:rPr>
          <w:rFonts w:ascii="Times New Roman" w:hAnsi="Times New Roman" w:cs="Times New Roman"/>
          <w:b/>
          <w:sz w:val="20"/>
          <w:szCs w:val="20"/>
          <w:u w:val="single"/>
        </w:rPr>
      </w:pPr>
      <w:r w:rsidRPr="005904BC">
        <w:rPr>
          <w:rFonts w:ascii="Times New Roman" w:hAnsi="Times New Roman" w:cs="Times New Roman"/>
          <w:b/>
          <w:sz w:val="20"/>
          <w:szCs w:val="20"/>
          <w:u w:val="single"/>
        </w:rPr>
        <w:t>23</w:t>
      </w:r>
      <w:r w:rsidR="002A1073" w:rsidRPr="005904BC">
        <w:rPr>
          <w:rFonts w:ascii="Times New Roman" w:hAnsi="Times New Roman" w:cs="Times New Roman"/>
          <w:b/>
          <w:sz w:val="20"/>
          <w:szCs w:val="20"/>
          <w:u w:val="single"/>
        </w:rPr>
        <w:t xml:space="preserve"> </w:t>
      </w:r>
      <w:r w:rsidR="00112323" w:rsidRPr="005904BC">
        <w:rPr>
          <w:rFonts w:ascii="Times New Roman" w:hAnsi="Times New Roman" w:cs="Times New Roman"/>
          <w:b/>
          <w:sz w:val="20"/>
          <w:szCs w:val="20"/>
          <w:u w:val="single"/>
        </w:rPr>
        <w:t xml:space="preserve">Ocak </w:t>
      </w:r>
      <w:r w:rsidR="00802E28" w:rsidRPr="005904BC">
        <w:rPr>
          <w:rFonts w:ascii="Times New Roman" w:hAnsi="Times New Roman" w:cs="Times New Roman"/>
          <w:b/>
          <w:sz w:val="20"/>
          <w:szCs w:val="20"/>
          <w:u w:val="single"/>
        </w:rPr>
        <w:t>201</w:t>
      </w:r>
      <w:r w:rsidR="00112323" w:rsidRPr="005904BC">
        <w:rPr>
          <w:rFonts w:ascii="Times New Roman" w:hAnsi="Times New Roman" w:cs="Times New Roman"/>
          <w:b/>
          <w:sz w:val="20"/>
          <w:szCs w:val="20"/>
          <w:u w:val="single"/>
        </w:rPr>
        <w:t>4</w:t>
      </w:r>
      <w:r w:rsidR="00802E28" w:rsidRPr="005904BC">
        <w:rPr>
          <w:rFonts w:ascii="Times New Roman" w:hAnsi="Times New Roman" w:cs="Times New Roman"/>
          <w:b/>
          <w:sz w:val="20"/>
          <w:szCs w:val="20"/>
          <w:u w:val="single"/>
        </w:rPr>
        <w:t>,</w:t>
      </w:r>
      <w:r w:rsidR="000370C9" w:rsidRPr="005904BC">
        <w:rPr>
          <w:rFonts w:ascii="Times New Roman" w:hAnsi="Times New Roman" w:cs="Times New Roman"/>
          <w:b/>
          <w:sz w:val="20"/>
          <w:szCs w:val="20"/>
          <w:u w:val="single"/>
        </w:rPr>
        <w:t xml:space="preserve"> </w:t>
      </w:r>
      <w:r w:rsidR="000370C9" w:rsidRPr="005904BC">
        <w:rPr>
          <w:rFonts w:ascii="Times New Roman" w:hAnsi="Times New Roman" w:cs="Times New Roman"/>
          <w:b/>
          <w:sz w:val="20"/>
          <w:szCs w:val="20"/>
          <w:u w:val="single"/>
        </w:rPr>
        <w:tab/>
      </w:r>
      <w:r w:rsidR="000370C9" w:rsidRPr="005904BC">
        <w:rPr>
          <w:rFonts w:ascii="Times New Roman" w:hAnsi="Times New Roman" w:cs="Times New Roman"/>
          <w:b/>
          <w:sz w:val="20"/>
          <w:szCs w:val="20"/>
          <w:u w:val="single"/>
        </w:rPr>
        <w:tab/>
      </w:r>
      <w:r w:rsidR="000370C9" w:rsidRPr="005904BC">
        <w:rPr>
          <w:rFonts w:ascii="Times New Roman" w:hAnsi="Times New Roman" w:cs="Times New Roman"/>
          <w:b/>
          <w:sz w:val="20"/>
          <w:szCs w:val="20"/>
          <w:u w:val="single"/>
        </w:rPr>
        <w:tab/>
      </w:r>
      <w:r w:rsidR="000370C9" w:rsidRPr="005904BC">
        <w:rPr>
          <w:rFonts w:ascii="Times New Roman" w:hAnsi="Times New Roman" w:cs="Times New Roman"/>
          <w:b/>
          <w:sz w:val="20"/>
          <w:szCs w:val="20"/>
          <w:u w:val="single"/>
        </w:rPr>
        <w:tab/>
      </w:r>
      <w:r w:rsidR="000370C9" w:rsidRPr="005904BC">
        <w:rPr>
          <w:rFonts w:ascii="Times New Roman" w:hAnsi="Times New Roman" w:cs="Times New Roman"/>
          <w:b/>
          <w:sz w:val="20"/>
          <w:szCs w:val="20"/>
          <w:u w:val="single"/>
        </w:rPr>
        <w:tab/>
      </w:r>
      <w:r w:rsidR="000370C9" w:rsidRPr="005904BC">
        <w:rPr>
          <w:rFonts w:ascii="Times New Roman" w:hAnsi="Times New Roman" w:cs="Times New Roman"/>
          <w:b/>
          <w:sz w:val="20"/>
          <w:szCs w:val="20"/>
          <w:u w:val="single"/>
        </w:rPr>
        <w:tab/>
      </w:r>
      <w:r w:rsidR="002950D7" w:rsidRPr="005904BC">
        <w:rPr>
          <w:rFonts w:ascii="Times New Roman" w:hAnsi="Times New Roman" w:cs="Times New Roman"/>
          <w:b/>
          <w:sz w:val="20"/>
          <w:szCs w:val="20"/>
          <w:u w:val="single"/>
        </w:rPr>
        <w:tab/>
      </w:r>
      <w:r w:rsidR="002A1073" w:rsidRPr="005904BC">
        <w:rPr>
          <w:rFonts w:ascii="Times New Roman" w:hAnsi="Times New Roman" w:cs="Times New Roman"/>
          <w:b/>
          <w:sz w:val="20"/>
          <w:szCs w:val="20"/>
          <w:u w:val="single"/>
        </w:rPr>
        <w:tab/>
      </w:r>
      <w:r w:rsidRPr="005904BC">
        <w:rPr>
          <w:rFonts w:ascii="Times New Roman" w:hAnsi="Times New Roman" w:cs="Times New Roman"/>
          <w:b/>
          <w:sz w:val="20"/>
          <w:szCs w:val="20"/>
          <w:u w:val="single"/>
        </w:rPr>
        <w:t xml:space="preserve"> </w:t>
      </w:r>
      <w:r w:rsidRPr="005904BC">
        <w:rPr>
          <w:rFonts w:ascii="Times New Roman" w:hAnsi="Times New Roman" w:cs="Times New Roman"/>
          <w:b/>
          <w:sz w:val="20"/>
          <w:szCs w:val="20"/>
          <w:u w:val="single"/>
        </w:rPr>
        <w:tab/>
      </w:r>
      <w:r w:rsidRPr="005904BC">
        <w:rPr>
          <w:rFonts w:ascii="Times New Roman" w:hAnsi="Times New Roman" w:cs="Times New Roman"/>
          <w:b/>
          <w:sz w:val="20"/>
          <w:szCs w:val="20"/>
          <w:u w:val="single"/>
        </w:rPr>
        <w:tab/>
      </w:r>
      <w:proofErr w:type="gramStart"/>
      <w:r w:rsidRPr="005904BC">
        <w:rPr>
          <w:rFonts w:ascii="Times New Roman" w:hAnsi="Times New Roman" w:cs="Times New Roman"/>
          <w:b/>
          <w:sz w:val="20"/>
          <w:szCs w:val="20"/>
          <w:u w:val="single"/>
        </w:rPr>
        <w:t>Sayı : 28891</w:t>
      </w:r>
      <w:proofErr w:type="gramEnd"/>
    </w:p>
    <w:p w:rsidR="0099649F" w:rsidRPr="005904BC" w:rsidRDefault="0099649F" w:rsidP="00A704E3">
      <w:pPr>
        <w:spacing w:after="0" w:line="280" w:lineRule="atLeast"/>
        <w:jc w:val="both"/>
        <w:rPr>
          <w:rFonts w:ascii="Times New Roman" w:hAnsi="Times New Roman" w:cs="Times New Roman"/>
          <w:b/>
          <w:sz w:val="20"/>
          <w:szCs w:val="20"/>
          <w:u w:val="single"/>
        </w:rPr>
      </w:pPr>
    </w:p>
    <w:p w:rsidR="005904BC" w:rsidRPr="005904BC" w:rsidRDefault="005904BC" w:rsidP="005904BC">
      <w:pPr>
        <w:jc w:val="both"/>
        <w:rPr>
          <w:rFonts w:ascii="Times New Roman" w:hAnsi="Times New Roman" w:cs="Times New Roman"/>
          <w:b/>
          <w:sz w:val="20"/>
          <w:szCs w:val="20"/>
        </w:rPr>
      </w:pPr>
      <w:r w:rsidRPr="005904BC">
        <w:rPr>
          <w:rFonts w:ascii="Times New Roman" w:hAnsi="Times New Roman" w:cs="Times New Roman"/>
          <w:b/>
          <w:sz w:val="20"/>
          <w:szCs w:val="20"/>
        </w:rPr>
        <w:t>Sermaye Piyasası Kurulundan:</w:t>
      </w:r>
    </w:p>
    <w:p w:rsidR="005904BC" w:rsidRPr="005904BC" w:rsidRDefault="005904BC" w:rsidP="005904BC">
      <w:pPr>
        <w:pStyle w:val="NormalWeb"/>
        <w:jc w:val="center"/>
        <w:rPr>
          <w:sz w:val="20"/>
          <w:szCs w:val="20"/>
        </w:rPr>
      </w:pPr>
      <w:r w:rsidRPr="005904BC">
        <w:rPr>
          <w:b/>
          <w:bCs/>
          <w:sz w:val="20"/>
          <w:szCs w:val="20"/>
        </w:rPr>
        <w:t>GAYRİMENKUL YATIRIM ORTAKLIKLARINA İLİŞKİN ESASLAR TEBLİĞİNDE DEĞİŞİKLİK YAPILMASINA DAİR TEBLİĞ (III-48.1a)</w:t>
      </w:r>
    </w:p>
    <w:p w:rsidR="005904BC" w:rsidRPr="005904BC" w:rsidRDefault="005904BC" w:rsidP="005904BC">
      <w:pPr>
        <w:jc w:val="both"/>
        <w:rPr>
          <w:rFonts w:ascii="Times New Roman" w:hAnsi="Times New Roman" w:cs="Times New Roman"/>
          <w:sz w:val="20"/>
          <w:szCs w:val="20"/>
        </w:rPr>
      </w:pPr>
      <w:r w:rsidRPr="005904BC">
        <w:rPr>
          <w:rStyle w:val="Gl"/>
          <w:rFonts w:ascii="Times New Roman" w:hAnsi="Times New Roman" w:cs="Times New Roman"/>
          <w:sz w:val="20"/>
          <w:szCs w:val="20"/>
        </w:rPr>
        <w:t>MADDE 1 –</w:t>
      </w:r>
      <w:r w:rsidRPr="005904BC">
        <w:rPr>
          <w:rFonts w:ascii="Times New Roman" w:hAnsi="Times New Roman" w:cs="Times New Roman"/>
          <w:sz w:val="20"/>
          <w:szCs w:val="20"/>
        </w:rPr>
        <w:t> </w:t>
      </w:r>
      <w:proofErr w:type="gramStart"/>
      <w:r w:rsidRPr="005904BC">
        <w:rPr>
          <w:rFonts w:ascii="Times New Roman" w:hAnsi="Times New Roman" w:cs="Times New Roman"/>
          <w:sz w:val="20"/>
          <w:szCs w:val="20"/>
        </w:rPr>
        <w:t>28/5/2013</w:t>
      </w:r>
      <w:proofErr w:type="gramEnd"/>
      <w:r w:rsidRPr="005904BC">
        <w:rPr>
          <w:rFonts w:ascii="Times New Roman" w:hAnsi="Times New Roman" w:cs="Times New Roman"/>
          <w:sz w:val="20"/>
          <w:szCs w:val="20"/>
        </w:rPr>
        <w:t xml:space="preserve"> tarihli ve 28660 sayılı Resmî Gazete’de yayımlanan Gayrimenkul Yatırım </w:t>
      </w:r>
      <w:proofErr w:type="spellStart"/>
      <w:r w:rsidRPr="005904BC">
        <w:rPr>
          <w:rFonts w:ascii="Times New Roman" w:hAnsi="Times New Roman" w:cs="Times New Roman"/>
          <w:sz w:val="20"/>
          <w:szCs w:val="20"/>
        </w:rPr>
        <w:t>Ortaklıklarınaİlişkin</w:t>
      </w:r>
      <w:proofErr w:type="spellEnd"/>
      <w:r w:rsidRPr="005904BC">
        <w:rPr>
          <w:rFonts w:ascii="Times New Roman" w:hAnsi="Times New Roman" w:cs="Times New Roman"/>
          <w:sz w:val="20"/>
          <w:szCs w:val="20"/>
        </w:rPr>
        <w:t xml:space="preserve"> Esaslar Tebliğinin 1 inci maddesi aşağıdaki şekilde değiştirilmiştir.</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 </w:t>
      </w:r>
    </w:p>
    <w:p w:rsidR="005904BC" w:rsidRPr="005904BC" w:rsidRDefault="005904BC" w:rsidP="005904BC">
      <w:pPr>
        <w:jc w:val="both"/>
        <w:rPr>
          <w:rFonts w:ascii="Times New Roman" w:hAnsi="Times New Roman" w:cs="Times New Roman"/>
          <w:sz w:val="20"/>
          <w:szCs w:val="20"/>
        </w:rPr>
      </w:pPr>
      <w:r w:rsidRPr="005904BC">
        <w:rPr>
          <w:rStyle w:val="Gl"/>
          <w:rFonts w:ascii="Times New Roman" w:hAnsi="Times New Roman" w:cs="Times New Roman"/>
          <w:sz w:val="20"/>
          <w:szCs w:val="20"/>
        </w:rPr>
        <w:t>“MADDE 1 –</w:t>
      </w:r>
      <w:r w:rsidRPr="005904BC">
        <w:rPr>
          <w:rFonts w:ascii="Times New Roman" w:hAnsi="Times New Roman" w:cs="Times New Roman"/>
          <w:sz w:val="20"/>
          <w:szCs w:val="20"/>
        </w:rPr>
        <w:t> (1) Bu Tebliğin amacı; gayrimenkul yatırım ortaklıklarının kuruluşlarına ve kurucularına, paylarının ihracına, satışına ve devrine, faaliyet esaslarına, yönetim ilkelerine, </w:t>
      </w:r>
      <w:proofErr w:type="gramStart"/>
      <w:r w:rsidRPr="005904BC">
        <w:rPr>
          <w:rFonts w:ascii="Times New Roman" w:hAnsi="Times New Roman" w:cs="Times New Roman"/>
          <w:sz w:val="20"/>
          <w:szCs w:val="20"/>
        </w:rPr>
        <w:t>portföy</w:t>
      </w:r>
      <w:proofErr w:type="gramEnd"/>
      <w:r w:rsidRPr="005904BC">
        <w:rPr>
          <w:rFonts w:ascii="Times New Roman" w:hAnsi="Times New Roman" w:cs="Times New Roman"/>
          <w:sz w:val="20"/>
          <w:szCs w:val="20"/>
        </w:rPr>
        <w:t xml:space="preserve"> sınırlamalarına, portföylerinde bulunan varlıkların ve hakların değerlemesine, varlıkların saklanmasına, imtiyazlı pay ihracına, ortaklarında ve yöneticilerinde aranacak niteliklere, kamuyu aydınlatma ve yatırımcıların bilgilendirilmesi yükümlülüklerine, kâr dağıtımına, gayrimenkul yatırım ortaklığı statüsünden çıkmalarına, tabi olacakları diğer yükümlülüklere ve anonim ortaklıkların gayrimenkul yatırım ortaklığına dönüşümüne ilişkin esasları düzenlemektir.” </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 </w:t>
      </w:r>
    </w:p>
    <w:p w:rsidR="005904BC" w:rsidRPr="005904BC" w:rsidRDefault="005904BC" w:rsidP="005904BC">
      <w:pPr>
        <w:jc w:val="both"/>
        <w:rPr>
          <w:rFonts w:ascii="Times New Roman" w:hAnsi="Times New Roman" w:cs="Times New Roman"/>
          <w:sz w:val="20"/>
          <w:szCs w:val="20"/>
        </w:rPr>
      </w:pPr>
      <w:r w:rsidRPr="005904BC">
        <w:rPr>
          <w:rStyle w:val="Gl"/>
          <w:rFonts w:ascii="Times New Roman" w:hAnsi="Times New Roman" w:cs="Times New Roman"/>
          <w:sz w:val="20"/>
          <w:szCs w:val="20"/>
        </w:rPr>
        <w:t>MADDE 2 – </w:t>
      </w:r>
      <w:r w:rsidRPr="005904BC">
        <w:rPr>
          <w:rFonts w:ascii="Times New Roman" w:hAnsi="Times New Roman" w:cs="Times New Roman"/>
          <w:sz w:val="20"/>
          <w:szCs w:val="20"/>
        </w:rPr>
        <w:t>Aynı Tebliğin 3 üncü maddesi aşağıdaki şekilde değiştirilmiştir.</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 </w:t>
      </w:r>
    </w:p>
    <w:p w:rsidR="005904BC" w:rsidRPr="005904BC" w:rsidRDefault="005904BC" w:rsidP="005904BC">
      <w:pPr>
        <w:jc w:val="both"/>
        <w:rPr>
          <w:rFonts w:ascii="Times New Roman" w:hAnsi="Times New Roman" w:cs="Times New Roman"/>
          <w:sz w:val="20"/>
          <w:szCs w:val="20"/>
        </w:rPr>
      </w:pPr>
      <w:r w:rsidRPr="005904BC">
        <w:rPr>
          <w:rStyle w:val="Gl"/>
          <w:rFonts w:ascii="Times New Roman" w:hAnsi="Times New Roman" w:cs="Times New Roman"/>
          <w:sz w:val="20"/>
          <w:szCs w:val="20"/>
        </w:rPr>
        <w:t>“MADDE 3 –</w:t>
      </w:r>
      <w:r w:rsidRPr="005904BC">
        <w:rPr>
          <w:rFonts w:ascii="Times New Roman" w:hAnsi="Times New Roman" w:cs="Times New Roman"/>
          <w:sz w:val="20"/>
          <w:szCs w:val="20"/>
        </w:rPr>
        <w:t> (1) Bu Tebliğde geçen;</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 </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a) Altyapı şirketi: </w:t>
      </w:r>
      <w:proofErr w:type="gramStart"/>
      <w:r w:rsidRPr="005904BC">
        <w:rPr>
          <w:rFonts w:ascii="Times New Roman" w:hAnsi="Times New Roman" w:cs="Times New Roman"/>
          <w:sz w:val="20"/>
          <w:szCs w:val="20"/>
        </w:rPr>
        <w:t>8/6/1994</w:t>
      </w:r>
      <w:proofErr w:type="gramEnd"/>
      <w:r w:rsidRPr="005904BC">
        <w:rPr>
          <w:rFonts w:ascii="Times New Roman" w:hAnsi="Times New Roman" w:cs="Times New Roman"/>
          <w:sz w:val="20"/>
          <w:szCs w:val="20"/>
        </w:rPr>
        <w:t> tarihli ve 3996 sayılı Bazı Yatırım ve Hizmetlerin Yap-İşlet-Devret Modeli Çerçevesinde Yaptırılması Hakkında Kanunda tanımlanan sermaye şirketini veya yabancı şirketi, altyapı yatırım hizmetlerini ilgili mevzuatta düzenlenen diğer kamu-özel işbirliği veya özelleştirme modelleri çerçevesinde yürütecek şirketi veya merkezi yönetim kapsamındaki kamu idareleri, sosyal güvenlik kurumları, mahalli idareler ve kamu iktisadi teşebbüsleri tarafından yürütülen altyapı yatırım ve hizmetlerini gerçekleştirmek üzere kurulan şirketi,</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 </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b) Altyapı yatırım ve hizmetleri: </w:t>
      </w:r>
      <w:proofErr w:type="gramStart"/>
      <w:r w:rsidRPr="005904BC">
        <w:rPr>
          <w:rFonts w:ascii="Times New Roman" w:hAnsi="Times New Roman" w:cs="Times New Roman"/>
          <w:sz w:val="20"/>
          <w:szCs w:val="20"/>
        </w:rPr>
        <w:t>10/12/2003</w:t>
      </w:r>
      <w:proofErr w:type="gramEnd"/>
      <w:r w:rsidRPr="005904BC">
        <w:rPr>
          <w:rFonts w:ascii="Times New Roman" w:hAnsi="Times New Roman" w:cs="Times New Roman"/>
          <w:sz w:val="20"/>
          <w:szCs w:val="20"/>
        </w:rPr>
        <w:t> tarihli ve 5018 sayılı Kamu Malî Yönetimi ve Kontrol Kanununda düzenlenen merkezi yönetim kapsamındaki kamu idareleri, sosyal güvenlik kurumları, mahalli idareler ve kamu iktisadi teşebbüsleri tarafından yürütülen tarım, sulama, madencilik, imalat, enerji, ulaştırma, haberleşme, bilgi teknolojileri, turizm, konut, kültür, kentsel ve kırsal altyapı, belediye hizmetleri, kentsel dönüşüm, çevre, araştırma-geliştirme hizmetleri ile eğitim, sağlık, adalet, güvenlik, genel idare altyapısı ve benzeri yatırım ve hizmetleri ile bu yatırım ve hizmetlere ilişkin projeleri ve bunlara dayalı hakları,</w:t>
      </w:r>
    </w:p>
    <w:p w:rsidR="005904BC" w:rsidRPr="005904BC" w:rsidRDefault="005904BC" w:rsidP="005904BC">
      <w:pPr>
        <w:pStyle w:val="NormalWeb"/>
        <w:rPr>
          <w:sz w:val="20"/>
          <w:szCs w:val="20"/>
        </w:rPr>
      </w:pPr>
      <w:r w:rsidRPr="005904BC">
        <w:rPr>
          <w:sz w:val="20"/>
          <w:szCs w:val="20"/>
        </w:rPr>
        <w:t>c) Bakanlık: Gümrük ve Ticaret Bakanlığını,</w:t>
      </w:r>
    </w:p>
    <w:p w:rsidR="005904BC" w:rsidRPr="005904BC" w:rsidRDefault="005904BC" w:rsidP="005904BC">
      <w:pPr>
        <w:pStyle w:val="NormalWeb"/>
        <w:rPr>
          <w:sz w:val="20"/>
          <w:szCs w:val="20"/>
        </w:rPr>
      </w:pPr>
      <w:r w:rsidRPr="005904BC">
        <w:rPr>
          <w:sz w:val="20"/>
          <w:szCs w:val="20"/>
        </w:rPr>
        <w:t>ç) Birlik: Türkiye Sermaye Piyasaları Birliğini,</w:t>
      </w:r>
    </w:p>
    <w:p w:rsidR="005904BC" w:rsidRPr="005904BC" w:rsidRDefault="005904BC" w:rsidP="005904BC">
      <w:pPr>
        <w:jc w:val="both"/>
        <w:rPr>
          <w:rFonts w:ascii="Times New Roman" w:hAnsi="Times New Roman" w:cs="Times New Roman"/>
          <w:sz w:val="20"/>
          <w:szCs w:val="20"/>
        </w:rPr>
      </w:pPr>
      <w:r w:rsidRPr="005904BC">
        <w:rPr>
          <w:rFonts w:ascii="Times New Roman" w:hAnsi="Times New Roman" w:cs="Times New Roman"/>
          <w:sz w:val="20"/>
          <w:szCs w:val="20"/>
        </w:rPr>
        <w:t>d) Borsa: 6362 sayılı Kanunun 3 üncü maddesinin birinci fıkrasının (ç) bendinde tanımlanan sistemler ve pazar yerleri ile yurt dışı borsaları,</w:t>
      </w:r>
    </w:p>
    <w:p w:rsidR="005904BC" w:rsidRPr="005904BC" w:rsidRDefault="005904BC" w:rsidP="005904BC">
      <w:pPr>
        <w:pStyle w:val="NormalWeb"/>
        <w:rPr>
          <w:sz w:val="20"/>
          <w:szCs w:val="20"/>
        </w:rPr>
      </w:pPr>
      <w:r w:rsidRPr="005904BC">
        <w:rPr>
          <w:sz w:val="20"/>
          <w:szCs w:val="20"/>
        </w:rPr>
        <w:t>e) BİAŞ: Borsa İstanbul A.Ş.’</w:t>
      </w:r>
      <w:proofErr w:type="spellStart"/>
      <w:r w:rsidRPr="005904BC">
        <w:rPr>
          <w:sz w:val="20"/>
          <w:szCs w:val="20"/>
        </w:rPr>
        <w:t>yi</w:t>
      </w:r>
      <w:proofErr w:type="spellEnd"/>
      <w:r w:rsidRPr="005904BC">
        <w:rPr>
          <w:sz w:val="20"/>
          <w:szCs w:val="20"/>
        </w:rPr>
        <w:t>,</w:t>
      </w:r>
    </w:p>
    <w:p w:rsidR="005904BC" w:rsidRPr="005904BC" w:rsidRDefault="005904BC" w:rsidP="005904BC">
      <w:pPr>
        <w:pStyle w:val="NormalWeb"/>
        <w:rPr>
          <w:sz w:val="20"/>
          <w:szCs w:val="20"/>
        </w:rPr>
      </w:pPr>
      <w:r w:rsidRPr="005904BC">
        <w:rPr>
          <w:sz w:val="20"/>
          <w:szCs w:val="20"/>
        </w:rPr>
        <w:lastRenderedPageBreak/>
        <w:t xml:space="preserve">f) Danışman şirket: Ortaklık ile yaptığı bir sözleşme çerçevesinde ortaklığa proje geliştirme ve kontrol hizmetleri </w:t>
      </w:r>
      <w:proofErr w:type="spellStart"/>
      <w:r w:rsidRPr="005904BC">
        <w:rPr>
          <w:sz w:val="20"/>
          <w:szCs w:val="20"/>
        </w:rPr>
        <w:t>dedahil</w:t>
      </w:r>
      <w:proofErr w:type="spellEnd"/>
      <w:r w:rsidRPr="005904BC">
        <w:rPr>
          <w:sz w:val="20"/>
          <w:szCs w:val="20"/>
        </w:rPr>
        <w:t xml:space="preserve"> olmak üzere ortaklık portföyünün geliştirilmesi ve alternatif yatırım </w:t>
      </w:r>
      <w:proofErr w:type="gramStart"/>
      <w:r w:rsidRPr="005904BC">
        <w:rPr>
          <w:sz w:val="20"/>
          <w:szCs w:val="20"/>
        </w:rPr>
        <w:t>imkanlarının</w:t>
      </w:r>
      <w:proofErr w:type="gramEnd"/>
      <w:r w:rsidRPr="005904BC">
        <w:rPr>
          <w:sz w:val="20"/>
          <w:szCs w:val="20"/>
        </w:rPr>
        <w:t xml:space="preserve"> araştırılmasına yönelik hizmetler sunan şirketi,</w:t>
      </w:r>
    </w:p>
    <w:p w:rsidR="005904BC" w:rsidRPr="005904BC" w:rsidRDefault="005904BC" w:rsidP="005904BC">
      <w:pPr>
        <w:pStyle w:val="NormalWeb"/>
        <w:rPr>
          <w:sz w:val="20"/>
          <w:szCs w:val="20"/>
        </w:rPr>
      </w:pPr>
      <w:r w:rsidRPr="005904BC">
        <w:rPr>
          <w:sz w:val="20"/>
          <w:szCs w:val="20"/>
        </w:rPr>
        <w:t>g) Gayrimenkul değerleme kuruluşu: Sermaye piyasasında değerleme faaliyetinde bulunacak değerleme kuruluşlarına ve değerleme faaliyetine ilişkin Kurul düzenlemelerinde tanımlanan şirketi,</w:t>
      </w:r>
    </w:p>
    <w:p w:rsidR="005904BC" w:rsidRPr="005904BC" w:rsidRDefault="005904BC" w:rsidP="005904BC">
      <w:pPr>
        <w:pStyle w:val="NormalWeb"/>
        <w:rPr>
          <w:sz w:val="20"/>
          <w:szCs w:val="20"/>
        </w:rPr>
      </w:pPr>
      <w:r w:rsidRPr="005904BC">
        <w:rPr>
          <w:sz w:val="20"/>
          <w:szCs w:val="20"/>
        </w:rPr>
        <w:t>ğ) Halka açık pay: Merkezi Kayıt Kuruluşu A.Ş. nezdinde borsada işlem görebilir pay olarak izlenen payları,</w:t>
      </w:r>
    </w:p>
    <w:p w:rsidR="005904BC" w:rsidRPr="005904BC" w:rsidRDefault="005904BC" w:rsidP="005904BC">
      <w:pPr>
        <w:pStyle w:val="NormalWeb"/>
        <w:rPr>
          <w:sz w:val="20"/>
          <w:szCs w:val="20"/>
        </w:rPr>
      </w:pPr>
      <w:r w:rsidRPr="005904BC">
        <w:rPr>
          <w:sz w:val="20"/>
          <w:szCs w:val="20"/>
        </w:rPr>
        <w:t>h) İdare: Yüksek Planlama Kurulunca altyapı yatırım ve hizmetlerini yaptırmak üzere altyapı şirketi ile sözleşme yapmaya yetkili kılınan ve/veya hizmetin asli sahibi olan kamu kurum ve kuruluşlarını,</w:t>
      </w:r>
    </w:p>
    <w:p w:rsidR="005904BC" w:rsidRPr="005904BC" w:rsidRDefault="005904BC" w:rsidP="005904BC">
      <w:pPr>
        <w:pStyle w:val="NormalWeb"/>
        <w:rPr>
          <w:sz w:val="20"/>
          <w:szCs w:val="20"/>
        </w:rPr>
      </w:pPr>
      <w:r w:rsidRPr="005904BC">
        <w:rPr>
          <w:sz w:val="20"/>
          <w:szCs w:val="20"/>
        </w:rPr>
        <w:t>ı) İlişkili taraf: Türkiye Muhasebe Standartları çerçevesinde Kurulca belirlenen düzenlemelerde yer alan ilişkili tarafı,</w:t>
      </w:r>
    </w:p>
    <w:p w:rsidR="005904BC" w:rsidRPr="005904BC" w:rsidRDefault="005904BC" w:rsidP="005904BC">
      <w:pPr>
        <w:pStyle w:val="NormalWeb"/>
        <w:rPr>
          <w:sz w:val="20"/>
          <w:szCs w:val="20"/>
        </w:rPr>
      </w:pPr>
      <w:r w:rsidRPr="005904BC">
        <w:rPr>
          <w:sz w:val="20"/>
          <w:szCs w:val="20"/>
        </w:rPr>
        <w:t>i) İşletme dönemi: İdare ile yapılan sözleşmede özel bir dönem belirtilmemişse, yatırım döneminin tamamlanarak tesisin gelir elde etmeye yönelik olarak faaliyette bulunduğu dönemi,</w:t>
      </w:r>
    </w:p>
    <w:p w:rsidR="005904BC" w:rsidRPr="005904BC" w:rsidRDefault="005904BC" w:rsidP="005904BC">
      <w:pPr>
        <w:pStyle w:val="NormalWeb"/>
        <w:rPr>
          <w:sz w:val="20"/>
          <w:szCs w:val="20"/>
        </w:rPr>
      </w:pPr>
      <w:r w:rsidRPr="005904BC">
        <w:rPr>
          <w:sz w:val="20"/>
          <w:szCs w:val="20"/>
        </w:rPr>
        <w:t xml:space="preserve">j) İşletmeci şirket: Ortaklık ile yaptığı bir sözleşme çerçevesinde ortaklığın mülkiyetinde bulunan veya </w:t>
      </w:r>
      <w:proofErr w:type="spellStart"/>
      <w:r w:rsidRPr="005904BC">
        <w:rPr>
          <w:sz w:val="20"/>
          <w:szCs w:val="20"/>
        </w:rPr>
        <w:t>kiralamışolduğu</w:t>
      </w:r>
      <w:proofErr w:type="spellEnd"/>
      <w:r w:rsidRPr="005904BC">
        <w:rPr>
          <w:sz w:val="20"/>
          <w:szCs w:val="20"/>
        </w:rPr>
        <w:t xml:space="preserve"> otel, hastane, alış veriş merkezi, iş merkezi, ticari parklar, ticari depolar, konut siteleri, süper marketler ve bunlara benzer nitelikteki gayrimenkuller ile altyapı yatırım ve hizmetleri kapsamında kurulan tesisleri ticari maksatla işleten şirketi,</w:t>
      </w:r>
    </w:p>
    <w:p w:rsidR="005904BC" w:rsidRPr="005904BC" w:rsidRDefault="005904BC" w:rsidP="005904BC">
      <w:pPr>
        <w:pStyle w:val="NormalWeb"/>
        <w:rPr>
          <w:sz w:val="20"/>
          <w:szCs w:val="20"/>
        </w:rPr>
      </w:pPr>
      <w:r w:rsidRPr="005904BC">
        <w:rPr>
          <w:sz w:val="20"/>
          <w:szCs w:val="20"/>
        </w:rPr>
        <w:t>k) Kanun: 6362 sayılı Sermaye Piyasası Kanununu,</w:t>
      </w:r>
    </w:p>
    <w:p w:rsidR="005904BC" w:rsidRPr="005904BC" w:rsidRDefault="005904BC" w:rsidP="005904BC">
      <w:pPr>
        <w:pStyle w:val="NormalWeb"/>
        <w:rPr>
          <w:sz w:val="20"/>
          <w:szCs w:val="20"/>
        </w:rPr>
      </w:pPr>
      <w:r w:rsidRPr="005904BC">
        <w:rPr>
          <w:sz w:val="20"/>
          <w:szCs w:val="20"/>
        </w:rPr>
        <w:t>l) KAP: Kamuyu Aydınlatma Platformunu,</w:t>
      </w:r>
    </w:p>
    <w:p w:rsidR="005904BC" w:rsidRPr="005904BC" w:rsidRDefault="005904BC" w:rsidP="005904BC">
      <w:pPr>
        <w:pStyle w:val="NormalWeb"/>
        <w:rPr>
          <w:sz w:val="20"/>
          <w:szCs w:val="20"/>
        </w:rPr>
      </w:pPr>
      <w:r w:rsidRPr="005904BC">
        <w:rPr>
          <w:sz w:val="20"/>
          <w:szCs w:val="20"/>
        </w:rPr>
        <w:t>m) Kurul: Sermaye Piyasası Kurulunu,</w:t>
      </w:r>
    </w:p>
    <w:p w:rsidR="005904BC" w:rsidRPr="005904BC" w:rsidRDefault="005904BC" w:rsidP="005904BC">
      <w:pPr>
        <w:pStyle w:val="NormalWeb"/>
        <w:rPr>
          <w:sz w:val="20"/>
          <w:szCs w:val="20"/>
        </w:rPr>
      </w:pPr>
      <w:r w:rsidRPr="005904BC">
        <w:rPr>
          <w:sz w:val="20"/>
          <w:szCs w:val="20"/>
        </w:rPr>
        <w:t>n) Müteahhit: Ortaklık ile yaptığı bir sözleşme çerçevesinde, ortaklığın </w:t>
      </w:r>
      <w:proofErr w:type="gramStart"/>
      <w:r w:rsidRPr="005904BC">
        <w:rPr>
          <w:sz w:val="20"/>
          <w:szCs w:val="20"/>
        </w:rPr>
        <w:t>portföyünde</w:t>
      </w:r>
      <w:proofErr w:type="gramEnd"/>
      <w:r w:rsidRPr="005904BC">
        <w:rPr>
          <w:sz w:val="20"/>
          <w:szCs w:val="20"/>
        </w:rPr>
        <w:t> yer alan projelerin inşaat işlerini gerçekleştirmeyi taahhüt eden gerçek ya da tüzel kişiyi,</w:t>
      </w:r>
    </w:p>
    <w:p w:rsidR="005904BC" w:rsidRPr="005904BC" w:rsidRDefault="005904BC" w:rsidP="005904BC">
      <w:pPr>
        <w:pStyle w:val="NormalWeb"/>
        <w:rPr>
          <w:sz w:val="20"/>
          <w:szCs w:val="20"/>
        </w:rPr>
      </w:pPr>
      <w:r w:rsidRPr="005904BC">
        <w:rPr>
          <w:sz w:val="20"/>
          <w:szCs w:val="20"/>
        </w:rPr>
        <w:t>o) Nitelikli yatırımcı: Kurulun sermaye piyasası araçlarının satışına ilişkin düzenlemelerinde tanımlanan kişileri,</w:t>
      </w:r>
    </w:p>
    <w:p w:rsidR="005904BC" w:rsidRPr="005904BC" w:rsidRDefault="005904BC" w:rsidP="005904BC">
      <w:pPr>
        <w:pStyle w:val="NormalWeb"/>
        <w:rPr>
          <w:sz w:val="20"/>
          <w:szCs w:val="20"/>
        </w:rPr>
      </w:pPr>
      <w:r w:rsidRPr="005904BC">
        <w:rPr>
          <w:sz w:val="20"/>
          <w:szCs w:val="20"/>
        </w:rPr>
        <w:t>ö) Ortaklık: Gayrimenkul yatırım ortaklığını,</w:t>
      </w:r>
    </w:p>
    <w:p w:rsidR="005904BC" w:rsidRPr="005904BC" w:rsidRDefault="005904BC" w:rsidP="005904BC">
      <w:pPr>
        <w:pStyle w:val="NormalWeb"/>
        <w:rPr>
          <w:sz w:val="20"/>
          <w:szCs w:val="20"/>
        </w:rPr>
      </w:pPr>
      <w:r w:rsidRPr="005904BC">
        <w:rPr>
          <w:sz w:val="20"/>
          <w:szCs w:val="20"/>
        </w:rPr>
        <w:t>p) Ortaklık aktif toplamı: Bu Tebliğde aksi belirtilmedikçe, ortaklığın </w:t>
      </w:r>
      <w:proofErr w:type="gramStart"/>
      <w:r w:rsidRPr="005904BC">
        <w:rPr>
          <w:sz w:val="20"/>
          <w:szCs w:val="20"/>
        </w:rPr>
        <w:t>konsolide</w:t>
      </w:r>
      <w:proofErr w:type="gramEnd"/>
      <w:r w:rsidRPr="005904BC">
        <w:rPr>
          <w:sz w:val="20"/>
          <w:szCs w:val="20"/>
        </w:rPr>
        <w:t> olmayan/bireysel finansal tablolarında yer alan aktif toplamını,</w:t>
      </w:r>
    </w:p>
    <w:p w:rsidR="005904BC" w:rsidRPr="005904BC" w:rsidRDefault="005904BC" w:rsidP="005904BC">
      <w:pPr>
        <w:pStyle w:val="NormalWeb"/>
        <w:rPr>
          <w:sz w:val="20"/>
          <w:szCs w:val="20"/>
        </w:rPr>
      </w:pPr>
      <w:r w:rsidRPr="005904BC">
        <w:rPr>
          <w:sz w:val="20"/>
          <w:szCs w:val="20"/>
        </w:rPr>
        <w:t>r) Ortaklık </w:t>
      </w:r>
      <w:proofErr w:type="gramStart"/>
      <w:r w:rsidRPr="005904BC">
        <w:rPr>
          <w:sz w:val="20"/>
          <w:szCs w:val="20"/>
        </w:rPr>
        <w:t>portföyü</w:t>
      </w:r>
      <w:proofErr w:type="gramEnd"/>
      <w:r w:rsidRPr="005904BC">
        <w:rPr>
          <w:sz w:val="20"/>
          <w:szCs w:val="20"/>
        </w:rPr>
        <w:t>: Ortaklığın aktifinde yer alan 4 üncü maddenin birinci fıkrasında sayılan varlık ve haklardan oluşan malvarlığını,</w:t>
      </w:r>
    </w:p>
    <w:p w:rsidR="005904BC" w:rsidRPr="005904BC" w:rsidRDefault="005904BC" w:rsidP="005904BC">
      <w:pPr>
        <w:pStyle w:val="NormalWeb"/>
        <w:rPr>
          <w:sz w:val="20"/>
          <w:szCs w:val="20"/>
        </w:rPr>
      </w:pPr>
      <w:r w:rsidRPr="005904BC">
        <w:rPr>
          <w:sz w:val="20"/>
          <w:szCs w:val="20"/>
        </w:rPr>
        <w:t>s) SPL: Sermaye Piyasası Lisanslama Sicil ve Eğitim Kuruluşu A.Ş.’</w:t>
      </w:r>
      <w:proofErr w:type="spellStart"/>
      <w:r w:rsidRPr="005904BC">
        <w:rPr>
          <w:sz w:val="20"/>
          <w:szCs w:val="20"/>
        </w:rPr>
        <w:t>yi</w:t>
      </w:r>
      <w:proofErr w:type="spellEnd"/>
      <w:r w:rsidRPr="005904BC">
        <w:rPr>
          <w:sz w:val="20"/>
          <w:szCs w:val="20"/>
        </w:rPr>
        <w:t>,</w:t>
      </w:r>
    </w:p>
    <w:p w:rsidR="005904BC" w:rsidRPr="005904BC" w:rsidRDefault="005904BC" w:rsidP="005904BC">
      <w:pPr>
        <w:pStyle w:val="NormalWeb"/>
        <w:rPr>
          <w:sz w:val="20"/>
          <w:szCs w:val="20"/>
        </w:rPr>
      </w:pPr>
      <w:r w:rsidRPr="005904BC">
        <w:rPr>
          <w:sz w:val="20"/>
          <w:szCs w:val="20"/>
        </w:rPr>
        <w:t>ş) </w:t>
      </w:r>
      <w:proofErr w:type="spellStart"/>
      <w:r w:rsidRPr="005904BC">
        <w:rPr>
          <w:sz w:val="20"/>
          <w:szCs w:val="20"/>
        </w:rPr>
        <w:t>Takasbank</w:t>
      </w:r>
      <w:proofErr w:type="spellEnd"/>
      <w:r w:rsidRPr="005904BC">
        <w:rPr>
          <w:sz w:val="20"/>
          <w:szCs w:val="20"/>
        </w:rPr>
        <w:t>: İstanbul Takas ve Saklama Bankası A.Ş.’</w:t>
      </w:r>
      <w:proofErr w:type="spellStart"/>
      <w:r w:rsidRPr="005904BC">
        <w:rPr>
          <w:sz w:val="20"/>
          <w:szCs w:val="20"/>
        </w:rPr>
        <w:t>yi</w:t>
      </w:r>
      <w:proofErr w:type="spellEnd"/>
      <w:r w:rsidRPr="005904BC">
        <w:rPr>
          <w:sz w:val="20"/>
          <w:szCs w:val="20"/>
        </w:rPr>
        <w:t>,</w:t>
      </w:r>
    </w:p>
    <w:p w:rsidR="005904BC" w:rsidRPr="005904BC" w:rsidRDefault="005904BC" w:rsidP="005904BC">
      <w:pPr>
        <w:pStyle w:val="NormalWeb"/>
        <w:rPr>
          <w:sz w:val="20"/>
          <w:szCs w:val="20"/>
        </w:rPr>
      </w:pPr>
      <w:r w:rsidRPr="005904BC">
        <w:rPr>
          <w:sz w:val="20"/>
          <w:szCs w:val="20"/>
        </w:rPr>
        <w:t>t) TTK: </w:t>
      </w:r>
      <w:proofErr w:type="gramStart"/>
      <w:r w:rsidRPr="005904BC">
        <w:rPr>
          <w:sz w:val="20"/>
          <w:szCs w:val="20"/>
        </w:rPr>
        <w:t>13/1/2011</w:t>
      </w:r>
      <w:proofErr w:type="gramEnd"/>
      <w:r w:rsidRPr="005904BC">
        <w:rPr>
          <w:sz w:val="20"/>
          <w:szCs w:val="20"/>
        </w:rPr>
        <w:t> tarihli ve 6102 sayılı Türk Ticaret Kanununu,</w:t>
      </w:r>
    </w:p>
    <w:p w:rsidR="005904BC" w:rsidRPr="005904BC" w:rsidRDefault="005904BC" w:rsidP="005904BC">
      <w:pPr>
        <w:pStyle w:val="NormalWeb"/>
        <w:rPr>
          <w:sz w:val="20"/>
          <w:szCs w:val="20"/>
        </w:rPr>
      </w:pPr>
      <w:r w:rsidRPr="005904BC">
        <w:rPr>
          <w:sz w:val="20"/>
          <w:szCs w:val="20"/>
        </w:rPr>
        <w:t>u) TTSG: Türkiye Ticaret Sicili Gazetesini,</w:t>
      </w:r>
    </w:p>
    <w:p w:rsidR="005904BC" w:rsidRPr="005904BC" w:rsidRDefault="005904BC" w:rsidP="005904BC">
      <w:pPr>
        <w:pStyle w:val="NormalWeb"/>
        <w:rPr>
          <w:sz w:val="20"/>
          <w:szCs w:val="20"/>
        </w:rPr>
      </w:pPr>
      <w:r w:rsidRPr="005904BC">
        <w:rPr>
          <w:sz w:val="20"/>
          <w:szCs w:val="20"/>
        </w:rPr>
        <w:t>ü) Yap-İşlet-Devret Modeli: 3996 sayılı Kanunda tanımlanan modeli,</w:t>
      </w:r>
    </w:p>
    <w:p w:rsidR="005904BC" w:rsidRPr="005904BC" w:rsidRDefault="005904BC" w:rsidP="005904BC">
      <w:pPr>
        <w:pStyle w:val="NormalWeb"/>
        <w:rPr>
          <w:sz w:val="20"/>
          <w:szCs w:val="20"/>
        </w:rPr>
      </w:pPr>
      <w:r w:rsidRPr="005904BC">
        <w:rPr>
          <w:sz w:val="20"/>
          <w:szCs w:val="20"/>
        </w:rPr>
        <w:t>v) Yatırım dönemi: İdare ile yapılan sözleşmede özel bir dönem belirtilmemişse, altyapı yatırım ve hizmetleri ile ilgili her türlü inşaat, </w:t>
      </w:r>
      <w:proofErr w:type="spellStart"/>
      <w:r w:rsidRPr="005904BC">
        <w:rPr>
          <w:sz w:val="20"/>
          <w:szCs w:val="20"/>
        </w:rPr>
        <w:t>ihrazat</w:t>
      </w:r>
      <w:proofErr w:type="spellEnd"/>
      <w:r w:rsidRPr="005904BC">
        <w:rPr>
          <w:sz w:val="20"/>
          <w:szCs w:val="20"/>
        </w:rPr>
        <w:t>, imalat, sondaj, tesisat, montaj ve benzeri işlemlerin bir bölümünün veya bütününün gerçekleştirildiği dönemi,</w:t>
      </w:r>
    </w:p>
    <w:p w:rsidR="005904BC" w:rsidRPr="005904BC" w:rsidRDefault="005904BC" w:rsidP="005904BC">
      <w:pPr>
        <w:pStyle w:val="NormalWeb"/>
        <w:rPr>
          <w:sz w:val="20"/>
          <w:szCs w:val="20"/>
        </w:rPr>
      </w:pPr>
      <w:r w:rsidRPr="005904BC">
        <w:rPr>
          <w:sz w:val="20"/>
          <w:szCs w:val="20"/>
        </w:rPr>
        <w:lastRenderedPageBreak/>
        <w:t xml:space="preserve">y)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 </w:t>
      </w:r>
    </w:p>
    <w:p w:rsidR="005904BC" w:rsidRPr="005904BC" w:rsidRDefault="005904BC" w:rsidP="005904BC">
      <w:pPr>
        <w:pStyle w:val="NormalWeb"/>
        <w:rPr>
          <w:sz w:val="20"/>
          <w:szCs w:val="20"/>
        </w:rPr>
      </w:pPr>
      <w:proofErr w:type="gramStart"/>
      <w:r w:rsidRPr="005904BC">
        <w:rPr>
          <w:sz w:val="20"/>
          <w:szCs w:val="20"/>
        </w:rPr>
        <w:t>ifade</w:t>
      </w:r>
      <w:proofErr w:type="gramEnd"/>
      <w:r w:rsidRPr="005904BC">
        <w:rPr>
          <w:sz w:val="20"/>
          <w:szCs w:val="20"/>
        </w:rPr>
        <w:t xml:space="preserve"> eder.” </w:t>
      </w:r>
    </w:p>
    <w:p w:rsidR="005904BC" w:rsidRPr="005904BC" w:rsidRDefault="005904BC" w:rsidP="005904BC">
      <w:pPr>
        <w:pStyle w:val="NormalWeb"/>
        <w:rPr>
          <w:sz w:val="20"/>
          <w:szCs w:val="20"/>
        </w:rPr>
      </w:pPr>
      <w:r w:rsidRPr="005904BC">
        <w:rPr>
          <w:rStyle w:val="Gl"/>
          <w:sz w:val="20"/>
          <w:szCs w:val="20"/>
        </w:rPr>
        <w:t>MADDE 3 –</w:t>
      </w:r>
      <w:r w:rsidRPr="005904BC">
        <w:rPr>
          <w:sz w:val="20"/>
          <w:szCs w:val="20"/>
        </w:rPr>
        <w:t> Aynı Tebliğin 4 üncü maddesi aşağıdaki şekilde değiştirilmiştir.</w:t>
      </w:r>
    </w:p>
    <w:p w:rsidR="005904BC" w:rsidRPr="005904BC" w:rsidRDefault="005904BC" w:rsidP="005904BC">
      <w:pPr>
        <w:pStyle w:val="NormalWeb"/>
        <w:rPr>
          <w:sz w:val="20"/>
          <w:szCs w:val="20"/>
        </w:rPr>
      </w:pPr>
      <w:r w:rsidRPr="005904BC">
        <w:rPr>
          <w:rStyle w:val="Gl"/>
          <w:sz w:val="20"/>
          <w:szCs w:val="20"/>
        </w:rPr>
        <w:t>“MADDE 4 –</w:t>
      </w:r>
      <w:r w:rsidRPr="005904BC">
        <w:rPr>
          <w:sz w:val="20"/>
          <w:szCs w:val="20"/>
        </w:rPr>
        <w:t> (1) Gayrimenkul yatırım ortaklığı, bu Tebliğ ile belirlenmiş usul ve esaslar </w:t>
      </w:r>
      <w:proofErr w:type="gramStart"/>
      <w:r w:rsidRPr="005904BC">
        <w:rPr>
          <w:sz w:val="20"/>
          <w:szCs w:val="20"/>
        </w:rPr>
        <w:t>dahilinde</w:t>
      </w:r>
      <w:proofErr w:type="gramEnd"/>
      <w:r w:rsidRPr="005904BC">
        <w:rPr>
          <w:sz w:val="20"/>
          <w:szCs w:val="20"/>
        </w:rPr>
        <w:t>, gayrimenkuller, gayrimenkul projeleri, gayrimenkule dayalı haklar, altyapı yatırım ve hizmetleri, sermaye piyasası araçları, </w:t>
      </w:r>
      <w:proofErr w:type="spellStart"/>
      <w:r w:rsidRPr="005904BC">
        <w:rPr>
          <w:sz w:val="20"/>
          <w:szCs w:val="20"/>
        </w:rPr>
        <w:t>Takasbank</w:t>
      </w:r>
      <w:proofErr w:type="spellEnd"/>
      <w:r w:rsidRPr="005904BC">
        <w:rPr>
          <w:sz w:val="20"/>
          <w:szCs w:val="20"/>
        </w:rPr>
        <w:t xml:space="preserve"> para piyasası ve ters repo işlemleri, Türk Lirası cinsinden vadeli mevduat veya katılma hesabı, yabancı para cinsinden vadeli ve vadesiz mevduat veya özel cari ve katılma hesapları ile iştirakler ve Kurulca belirlenecek diğer varlık ve haklardan oluşan portföyü işletmek amacıyla paylarını ihraç etmek üzere kurulan ve Kanunun 48 inci maddesinde sınırı çizilen </w:t>
      </w:r>
      <w:proofErr w:type="spellStart"/>
      <w:r w:rsidRPr="005904BC">
        <w:rPr>
          <w:sz w:val="20"/>
          <w:szCs w:val="20"/>
        </w:rPr>
        <w:t>faaliyetlerçerçevesinde</w:t>
      </w:r>
      <w:proofErr w:type="spellEnd"/>
      <w:r w:rsidRPr="005904BC">
        <w:rPr>
          <w:sz w:val="20"/>
          <w:szCs w:val="20"/>
        </w:rPr>
        <w:t xml:space="preserve"> olmak kaydı ile bu Tebliğde izin verilen diğer faaliyetlerde bulunabilen sermaye piyasası kurumudur.</w:t>
      </w:r>
    </w:p>
    <w:p w:rsidR="005904BC" w:rsidRPr="005904BC" w:rsidRDefault="005904BC" w:rsidP="005904BC">
      <w:pPr>
        <w:pStyle w:val="NormalWeb"/>
        <w:rPr>
          <w:sz w:val="20"/>
          <w:szCs w:val="20"/>
        </w:rPr>
      </w:pPr>
      <w:r w:rsidRPr="005904BC">
        <w:rPr>
          <w:sz w:val="20"/>
          <w:szCs w:val="20"/>
        </w:rPr>
        <w:t>(2) Altyapı yatırım ve hizmetlerinden oluşan </w:t>
      </w:r>
      <w:proofErr w:type="gramStart"/>
      <w:r w:rsidRPr="005904BC">
        <w:rPr>
          <w:sz w:val="20"/>
          <w:szCs w:val="20"/>
        </w:rPr>
        <w:t>portföyü</w:t>
      </w:r>
      <w:proofErr w:type="gramEnd"/>
      <w:r w:rsidRPr="005904BC">
        <w:rPr>
          <w:sz w:val="20"/>
          <w:szCs w:val="20"/>
        </w:rPr>
        <w:t> işleten ortaklıkların münhasıran bu faaliyette bulunmak üzere kurulmaları/dönüşmeleri zorunlu olup, ortaklık esas sözleşmesinde bu yönde hüküm bulunması zorunludur.</w:t>
      </w:r>
    </w:p>
    <w:p w:rsidR="005904BC" w:rsidRPr="005904BC" w:rsidRDefault="005904BC" w:rsidP="005904BC">
      <w:pPr>
        <w:pStyle w:val="NormalWeb"/>
        <w:rPr>
          <w:sz w:val="20"/>
          <w:szCs w:val="20"/>
        </w:rPr>
      </w:pPr>
      <w:r w:rsidRPr="005904BC">
        <w:rPr>
          <w:sz w:val="20"/>
          <w:szCs w:val="20"/>
        </w:rPr>
        <w:t>(3) Münhasıran altyapı yatırım ve hizmetlerinden oluşan </w:t>
      </w:r>
      <w:proofErr w:type="gramStart"/>
      <w:r w:rsidRPr="005904BC">
        <w:rPr>
          <w:sz w:val="20"/>
          <w:szCs w:val="20"/>
        </w:rPr>
        <w:t>portföyü</w:t>
      </w:r>
      <w:proofErr w:type="gramEnd"/>
      <w:r w:rsidRPr="005904BC">
        <w:rPr>
          <w:sz w:val="20"/>
          <w:szCs w:val="20"/>
        </w:rPr>
        <w:t xml:space="preserve"> işletecek ortaklıklar altyapı yatırım ve hizmeti ile ilişkili olmayan gayrimenkuller, gayrimenkul projeleri ve gayrimenkule dayalı haklara yatırım yapamazlar. Bu </w:t>
      </w:r>
      <w:proofErr w:type="spellStart"/>
      <w:r w:rsidRPr="005904BC">
        <w:rPr>
          <w:sz w:val="20"/>
          <w:szCs w:val="20"/>
        </w:rPr>
        <w:t>Tebliğkapsamındaki</w:t>
      </w:r>
      <w:proofErr w:type="spellEnd"/>
      <w:r w:rsidRPr="005904BC">
        <w:rPr>
          <w:sz w:val="20"/>
          <w:szCs w:val="20"/>
        </w:rPr>
        <w:t xml:space="preserve"> diğer ortaklıklar da, ana faaliyet konularına ilişkin gayrimenkul veya gayrimenkul projelerine bağlı olarak yürütülen ve arızi nitelik taşıyanlar hariç olmak üzere, altyapı yatırım ve hizmetleri ile bunlar kapsamındaki varlık ve haklara yatırım yapamazlar.” </w:t>
      </w:r>
    </w:p>
    <w:p w:rsidR="005904BC" w:rsidRPr="005904BC" w:rsidRDefault="005904BC" w:rsidP="005904BC">
      <w:pPr>
        <w:pStyle w:val="NormalWeb"/>
        <w:rPr>
          <w:sz w:val="20"/>
          <w:szCs w:val="20"/>
        </w:rPr>
      </w:pPr>
      <w:r w:rsidRPr="005904BC">
        <w:rPr>
          <w:rStyle w:val="Gl"/>
          <w:sz w:val="20"/>
          <w:szCs w:val="20"/>
        </w:rPr>
        <w:t>MADDE 4 – </w:t>
      </w:r>
      <w:r w:rsidRPr="005904BC">
        <w:rPr>
          <w:sz w:val="20"/>
          <w:szCs w:val="20"/>
        </w:rPr>
        <w:t>Aynı Tebliğin 5 inci maddesi aşağıdaki şekilde değiştirilmiştir.</w:t>
      </w:r>
    </w:p>
    <w:p w:rsidR="005904BC" w:rsidRPr="005904BC" w:rsidRDefault="005904BC" w:rsidP="005904BC">
      <w:pPr>
        <w:pStyle w:val="NormalWeb"/>
        <w:rPr>
          <w:sz w:val="20"/>
          <w:szCs w:val="20"/>
        </w:rPr>
      </w:pPr>
      <w:r w:rsidRPr="005904BC">
        <w:rPr>
          <w:rStyle w:val="Gl"/>
          <w:sz w:val="20"/>
          <w:szCs w:val="20"/>
        </w:rPr>
        <w:t>“MADDE 5 –</w:t>
      </w:r>
      <w:r w:rsidRPr="005904BC">
        <w:rPr>
          <w:sz w:val="20"/>
          <w:szCs w:val="20"/>
        </w:rPr>
        <w:t> (1) Ortaklıklar; münhasıran altyapı yatırım ve hizmetlerinden oluşan bir </w:t>
      </w:r>
      <w:proofErr w:type="gramStart"/>
      <w:r w:rsidRPr="005904BC">
        <w:rPr>
          <w:sz w:val="20"/>
          <w:szCs w:val="20"/>
        </w:rPr>
        <w:t>portföyü</w:t>
      </w:r>
      <w:proofErr w:type="gramEnd"/>
      <w:r w:rsidRPr="005904BC">
        <w:rPr>
          <w:sz w:val="20"/>
          <w:szCs w:val="20"/>
        </w:rPr>
        <w:t> veya 4 </w:t>
      </w:r>
      <w:proofErr w:type="spellStart"/>
      <w:r w:rsidRPr="005904BC">
        <w:rPr>
          <w:sz w:val="20"/>
          <w:szCs w:val="20"/>
        </w:rPr>
        <w:t>üncümaddenin</w:t>
      </w:r>
      <w:proofErr w:type="spellEnd"/>
      <w:r w:rsidRPr="005904BC">
        <w:rPr>
          <w:sz w:val="20"/>
          <w:szCs w:val="20"/>
        </w:rPr>
        <w:t xml:space="preserve"> birinci fıkrasında belirtilen diğer varlık ve haklardan oluşan bir portföyü işletmek üzere kurulabileceği gibi belirli bir projeye, gayrimenkule veya altyapı yatırım ve hizmetine yatırım yapmak ya da belirli bir alanda faaliyet göstermek amacıyla da kurulabilirler.</w:t>
      </w:r>
    </w:p>
    <w:p w:rsidR="005904BC" w:rsidRPr="005904BC" w:rsidRDefault="005904BC" w:rsidP="005904BC">
      <w:pPr>
        <w:pStyle w:val="NormalWeb"/>
        <w:rPr>
          <w:sz w:val="20"/>
          <w:szCs w:val="20"/>
        </w:rPr>
      </w:pPr>
      <w:proofErr w:type="gramStart"/>
      <w:r w:rsidRPr="005904BC">
        <w:rPr>
          <w:sz w:val="20"/>
          <w:szCs w:val="20"/>
        </w:rPr>
        <w:t xml:space="preserve">(2) Belirli alanlarda faaliyet göstermek veya belirli bir projeye, gayrimenkule veya altyapı yatırım ve hizmetine yatırım yapmak üzere kurulan ortaklıkların aktif toplamlarının en az %75’i bu faaliyet kapsamında yapılan yatırımlardan oluşur ve bu ortaklıkların unvanlarında söz konusu faaliyete, projeye, gayrimenkule veya altyapı yatırım ve hizmetine ilişkin bir ifadeye yer verilir.” </w:t>
      </w:r>
      <w:proofErr w:type="gramEnd"/>
    </w:p>
    <w:p w:rsidR="005904BC" w:rsidRPr="005904BC" w:rsidRDefault="005904BC" w:rsidP="005904BC">
      <w:pPr>
        <w:pStyle w:val="NormalWeb"/>
        <w:rPr>
          <w:sz w:val="20"/>
          <w:szCs w:val="20"/>
        </w:rPr>
      </w:pPr>
      <w:r w:rsidRPr="005904BC">
        <w:rPr>
          <w:rStyle w:val="Gl"/>
          <w:sz w:val="20"/>
          <w:szCs w:val="20"/>
        </w:rPr>
        <w:t>MADDE 5 – </w:t>
      </w:r>
      <w:r w:rsidRPr="005904BC">
        <w:rPr>
          <w:sz w:val="20"/>
          <w:szCs w:val="20"/>
        </w:rPr>
        <w:t>Aynı Tebliğin 6 </w:t>
      </w:r>
      <w:proofErr w:type="spellStart"/>
      <w:r w:rsidRPr="005904BC">
        <w:rPr>
          <w:sz w:val="20"/>
          <w:szCs w:val="20"/>
        </w:rPr>
        <w:t>ncı</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6 – </w:t>
      </w:r>
      <w:r w:rsidRPr="005904BC">
        <w:rPr>
          <w:sz w:val="20"/>
          <w:szCs w:val="20"/>
        </w:rPr>
        <w:t>(1) Ortaklıklar gayrimenkul yatırım ortaklığı olarak kurulabileceği gibi, anonim ortaklıklar esas sözleşmelerini Kanun ve bu Tebliğ hükümlerine uygun olarak değiştirerek gayrimenkul yatırım ortaklığına dönüşebilirler. Münhasıran altyapı yatırım ve hizmetlerinden oluşan </w:t>
      </w:r>
      <w:proofErr w:type="gramStart"/>
      <w:r w:rsidRPr="005904BC">
        <w:rPr>
          <w:sz w:val="20"/>
          <w:szCs w:val="20"/>
        </w:rPr>
        <w:t>portföyü</w:t>
      </w:r>
      <w:proofErr w:type="gramEnd"/>
      <w:r w:rsidRPr="005904BC">
        <w:rPr>
          <w:sz w:val="20"/>
          <w:szCs w:val="20"/>
        </w:rPr>
        <w:t> işletecek ortaklıkların gerek kuruluşlarında gerekse dönüşümlerinde esas sözleşmelerinde ortaklık aktif toplamının asgari %75’inin altyapı yatırım ve hizmetlerinden oluşacağının açıkça belirtilmesi zorunludur. Şu kadar ki, münhasıran altyapı yatırım ve hizmetlerinden oluşan </w:t>
      </w:r>
      <w:proofErr w:type="spellStart"/>
      <w:r w:rsidRPr="005904BC">
        <w:rPr>
          <w:sz w:val="20"/>
          <w:szCs w:val="20"/>
        </w:rPr>
        <w:t>portföyüişletecek</w:t>
      </w:r>
      <w:proofErr w:type="spellEnd"/>
      <w:r w:rsidRPr="005904BC">
        <w:rPr>
          <w:sz w:val="20"/>
          <w:szCs w:val="20"/>
        </w:rPr>
        <w:t xml:space="preserve"> ortaklıklara yalnızca altyapı şirketleri dönüşebilir.</w:t>
      </w:r>
    </w:p>
    <w:p w:rsidR="005904BC" w:rsidRPr="005904BC" w:rsidRDefault="005904BC" w:rsidP="005904BC">
      <w:pPr>
        <w:pStyle w:val="NormalWeb"/>
        <w:rPr>
          <w:sz w:val="20"/>
          <w:szCs w:val="20"/>
        </w:rPr>
      </w:pPr>
      <w:r w:rsidRPr="005904BC">
        <w:rPr>
          <w:sz w:val="20"/>
          <w:szCs w:val="20"/>
        </w:rPr>
        <w:t>(2) Kuruluş ve dönüşüm başvurularının Kurulca uygun görülebilmesi için, ortaklığın;</w:t>
      </w:r>
    </w:p>
    <w:p w:rsidR="005904BC" w:rsidRPr="005904BC" w:rsidRDefault="005904BC" w:rsidP="005904BC">
      <w:pPr>
        <w:pStyle w:val="NormalWeb"/>
        <w:rPr>
          <w:sz w:val="20"/>
          <w:szCs w:val="20"/>
        </w:rPr>
      </w:pPr>
      <w:r w:rsidRPr="005904BC">
        <w:rPr>
          <w:sz w:val="20"/>
          <w:szCs w:val="20"/>
        </w:rPr>
        <w:t>a) Kayıtlı sermayeli anonim ortaklık şeklinde kurulması veya anonim ortaklık niteliğinde olup kayıtlı sermaye sistemine geçmek için Kurula başvurması,</w:t>
      </w:r>
    </w:p>
    <w:p w:rsidR="005904BC" w:rsidRPr="005904BC" w:rsidRDefault="005904BC" w:rsidP="005904BC">
      <w:pPr>
        <w:pStyle w:val="NormalWeb"/>
        <w:rPr>
          <w:sz w:val="20"/>
          <w:szCs w:val="20"/>
        </w:rPr>
      </w:pPr>
      <w:r w:rsidRPr="005904BC">
        <w:rPr>
          <w:sz w:val="20"/>
          <w:szCs w:val="20"/>
        </w:rPr>
        <w:t>b) Kuruluşta başlangıç sermayesinin, dönüşümde ise mevcut ödenmiş veya çıkarılmış sermayesi ile öz sermayesinin her birinin 30.000.000 TL’den, münhasıran altyapı yatırım ve hizmetlerinden oluşan </w:t>
      </w:r>
      <w:proofErr w:type="gramStart"/>
      <w:r w:rsidRPr="005904BC">
        <w:rPr>
          <w:sz w:val="20"/>
          <w:szCs w:val="20"/>
        </w:rPr>
        <w:t>portföyü</w:t>
      </w:r>
      <w:proofErr w:type="gramEnd"/>
      <w:r w:rsidRPr="005904BC">
        <w:rPr>
          <w:sz w:val="20"/>
          <w:szCs w:val="20"/>
        </w:rPr>
        <w:t> işletecek ise 100.000.000 TL’den az olmaması,</w:t>
      </w:r>
    </w:p>
    <w:p w:rsidR="005904BC" w:rsidRPr="005904BC" w:rsidRDefault="005904BC" w:rsidP="005904BC">
      <w:pPr>
        <w:pStyle w:val="NormalWeb"/>
        <w:rPr>
          <w:sz w:val="20"/>
          <w:szCs w:val="20"/>
        </w:rPr>
      </w:pPr>
      <w:r w:rsidRPr="005904BC">
        <w:rPr>
          <w:sz w:val="20"/>
          <w:szCs w:val="20"/>
        </w:rPr>
        <w:lastRenderedPageBreak/>
        <w:t>c) (b) bendinde belirtilen sermaye miktarının;</w:t>
      </w:r>
    </w:p>
    <w:p w:rsidR="005904BC" w:rsidRPr="005904BC" w:rsidRDefault="005904BC" w:rsidP="005904BC">
      <w:pPr>
        <w:pStyle w:val="NormalWeb"/>
        <w:rPr>
          <w:sz w:val="20"/>
          <w:szCs w:val="20"/>
        </w:rPr>
      </w:pPr>
      <w:r w:rsidRPr="005904BC">
        <w:rPr>
          <w:sz w:val="20"/>
          <w:szCs w:val="20"/>
        </w:rPr>
        <w:t>1) 60.000.000 TL’den az olması halinde, sermayeyi temsil eden paylarının en az %10’unun,</w:t>
      </w:r>
    </w:p>
    <w:p w:rsidR="005904BC" w:rsidRPr="005904BC" w:rsidRDefault="005904BC" w:rsidP="005904BC">
      <w:pPr>
        <w:pStyle w:val="NormalWeb"/>
        <w:rPr>
          <w:sz w:val="20"/>
          <w:szCs w:val="20"/>
        </w:rPr>
      </w:pPr>
      <w:r w:rsidRPr="005904BC">
        <w:rPr>
          <w:sz w:val="20"/>
          <w:szCs w:val="20"/>
        </w:rPr>
        <w:t>2) 60.000.000 TL ve daha fazla olması halinde ise, sermayenin 6.000.000 TL’lik, münhasıran altyapı yatırım ve hizmetlerinden oluşan </w:t>
      </w:r>
      <w:proofErr w:type="gramStart"/>
      <w:r w:rsidRPr="005904BC">
        <w:rPr>
          <w:sz w:val="20"/>
          <w:szCs w:val="20"/>
        </w:rPr>
        <w:t>portföyü</w:t>
      </w:r>
      <w:proofErr w:type="gramEnd"/>
      <w:r w:rsidRPr="005904BC">
        <w:rPr>
          <w:sz w:val="20"/>
          <w:szCs w:val="20"/>
        </w:rPr>
        <w:t> işletecek ise 10.000.000 TL’lik kısmını temsil eden paylarının</w:t>
      </w:r>
    </w:p>
    <w:p w:rsidR="005904BC" w:rsidRPr="005904BC" w:rsidRDefault="005904BC" w:rsidP="005904BC">
      <w:pPr>
        <w:pStyle w:val="NormalWeb"/>
        <w:rPr>
          <w:sz w:val="20"/>
          <w:szCs w:val="20"/>
        </w:rPr>
      </w:pPr>
      <w:proofErr w:type="gramStart"/>
      <w:r w:rsidRPr="005904BC">
        <w:rPr>
          <w:sz w:val="20"/>
          <w:szCs w:val="20"/>
        </w:rPr>
        <w:t>kuruluşta</w:t>
      </w:r>
      <w:proofErr w:type="gramEnd"/>
      <w:r w:rsidRPr="005904BC">
        <w:rPr>
          <w:sz w:val="20"/>
          <w:szCs w:val="20"/>
        </w:rPr>
        <w:t xml:space="preserve"> nakit karşılığı çıkarılmış olması ve nakit karşılığı çıkarılan pay bedellerinin tamamının ödenmesi, dönüşümde ise nakit karşılığı çıkarılmış olması veya son hesap dönemine ait bağımsız denetimden geçmiş </w:t>
      </w:r>
      <w:proofErr w:type="spellStart"/>
      <w:r w:rsidRPr="005904BC">
        <w:rPr>
          <w:sz w:val="20"/>
          <w:szCs w:val="20"/>
        </w:rPr>
        <w:t>konsolideolmayan</w:t>
      </w:r>
      <w:proofErr w:type="spellEnd"/>
      <w:r w:rsidRPr="005904BC">
        <w:rPr>
          <w:sz w:val="20"/>
          <w:szCs w:val="20"/>
        </w:rPr>
        <w:t xml:space="preserve"> veya bireysel finansal tablolarında dönen varlıklar grubu altında yer alan nakit ve nakit benzerleri ile finansal yatırımlar kalemlerinin toplamının bu bentte belirtilen oran ya da tutar kadar olması,</w:t>
      </w:r>
    </w:p>
    <w:p w:rsidR="005904BC" w:rsidRPr="005904BC" w:rsidRDefault="005904BC" w:rsidP="005904BC">
      <w:pPr>
        <w:pStyle w:val="NormalWeb"/>
        <w:rPr>
          <w:sz w:val="20"/>
          <w:szCs w:val="20"/>
        </w:rPr>
      </w:pPr>
      <w:r w:rsidRPr="005904BC">
        <w:rPr>
          <w:sz w:val="20"/>
          <w:szCs w:val="20"/>
        </w:rPr>
        <w:t>ç) Ticaret unvanında "Gayrimenkul Yatırım Ortaklığı" ibaresini taşıması veya unvanını bu ibareyi içerecek şekilde değiştirmek üzere Kurula başvurmuş olması,</w:t>
      </w:r>
    </w:p>
    <w:p w:rsidR="005904BC" w:rsidRPr="005904BC" w:rsidRDefault="005904BC" w:rsidP="005904BC">
      <w:pPr>
        <w:pStyle w:val="NormalWeb"/>
        <w:rPr>
          <w:sz w:val="20"/>
          <w:szCs w:val="20"/>
        </w:rPr>
      </w:pPr>
      <w:r w:rsidRPr="005904BC">
        <w:rPr>
          <w:sz w:val="20"/>
          <w:szCs w:val="20"/>
        </w:rPr>
        <w:t>d) Kurucu ortakların veya mevcut ortakların bu Tebliğde öngörülen şartları haiz olması,</w:t>
      </w:r>
    </w:p>
    <w:p w:rsidR="005904BC" w:rsidRPr="005904BC" w:rsidRDefault="005904BC" w:rsidP="005904BC">
      <w:pPr>
        <w:pStyle w:val="NormalWeb"/>
        <w:rPr>
          <w:sz w:val="20"/>
          <w:szCs w:val="20"/>
        </w:rPr>
      </w:pPr>
      <w:r w:rsidRPr="005904BC">
        <w:rPr>
          <w:sz w:val="20"/>
          <w:szCs w:val="20"/>
        </w:rPr>
        <w:t>e) Esas sözleşmesinin Kanun ve bu Tebliğ hükümlerine uygun olması veya mevcut esas sözleşmesini Kanun ve bu Tebliğ hükümlerine uygun şekilde değiştirmek üzere Kurula başvurmuş olması,</w:t>
      </w:r>
    </w:p>
    <w:p w:rsidR="005904BC" w:rsidRPr="005904BC" w:rsidRDefault="005904BC" w:rsidP="005904BC">
      <w:pPr>
        <w:pStyle w:val="NormalWeb"/>
        <w:rPr>
          <w:sz w:val="20"/>
          <w:szCs w:val="20"/>
        </w:rPr>
      </w:pPr>
      <w:r w:rsidRPr="005904BC">
        <w:rPr>
          <w:sz w:val="20"/>
          <w:szCs w:val="20"/>
        </w:rPr>
        <w:t>f) Genel müdür ile yönetim kurulu üyelerinin bu Tebliğde öngörülen şartları taşımaları, genel müdürün kuruluş ve dönüşüm başvurularında belirlenmiş ve en geç kuruluşun veya esas sözleşme değişikliklerinin ticaret siciline tescili tarihi itibariyle, münhasıran altyapı yatırım ve hizmetlerinden oluşan </w:t>
      </w:r>
      <w:proofErr w:type="gramStart"/>
      <w:r w:rsidRPr="005904BC">
        <w:rPr>
          <w:sz w:val="20"/>
          <w:szCs w:val="20"/>
        </w:rPr>
        <w:t>portföyü</w:t>
      </w:r>
      <w:proofErr w:type="gramEnd"/>
      <w:r w:rsidRPr="005904BC">
        <w:rPr>
          <w:sz w:val="20"/>
          <w:szCs w:val="20"/>
        </w:rPr>
        <w:t> işletecek ise tescil tarihini takip eden altı ay içinde atanmış olması,</w:t>
      </w:r>
    </w:p>
    <w:p w:rsidR="005904BC" w:rsidRPr="005904BC" w:rsidRDefault="005904BC" w:rsidP="005904BC">
      <w:pPr>
        <w:pStyle w:val="NormalWeb"/>
        <w:rPr>
          <w:sz w:val="20"/>
          <w:szCs w:val="20"/>
        </w:rPr>
      </w:pPr>
      <w:r w:rsidRPr="005904BC">
        <w:rPr>
          <w:sz w:val="20"/>
          <w:szCs w:val="20"/>
        </w:rPr>
        <w:t>g) Portföyünde yer alan/alacak varlıkların niteliklerinin ve ortaklık aktif toplamı içinde sahip oldukları/</w:t>
      </w:r>
      <w:proofErr w:type="spellStart"/>
      <w:r w:rsidRPr="005904BC">
        <w:rPr>
          <w:sz w:val="20"/>
          <w:szCs w:val="20"/>
        </w:rPr>
        <w:t>olacaklarıağırlıkların</w:t>
      </w:r>
      <w:proofErr w:type="spellEnd"/>
      <w:r w:rsidRPr="005904BC">
        <w:rPr>
          <w:sz w:val="20"/>
          <w:szCs w:val="20"/>
        </w:rPr>
        <w:t xml:space="preserve"> bu Tebliğde belirtilen niteliklere ve sınırlamalara uygun olması,</w:t>
      </w:r>
    </w:p>
    <w:p w:rsidR="005904BC" w:rsidRPr="005904BC" w:rsidRDefault="005904BC" w:rsidP="005904BC">
      <w:pPr>
        <w:pStyle w:val="NormalWeb"/>
        <w:rPr>
          <w:sz w:val="20"/>
          <w:szCs w:val="20"/>
        </w:rPr>
      </w:pPr>
      <w:r w:rsidRPr="005904BC">
        <w:rPr>
          <w:sz w:val="20"/>
          <w:szCs w:val="20"/>
        </w:rPr>
        <w:t>ğ) Kuruluşta ayni sermaye konulması durumunda, 9 uncu madde çerçevesinde ayni sermaye değerinin tespit edilmiş olması,</w:t>
      </w:r>
    </w:p>
    <w:p w:rsidR="005904BC" w:rsidRPr="005904BC" w:rsidRDefault="005904BC" w:rsidP="005904BC">
      <w:pPr>
        <w:pStyle w:val="NormalWeb"/>
        <w:rPr>
          <w:sz w:val="20"/>
          <w:szCs w:val="20"/>
        </w:rPr>
      </w:pPr>
      <w:r w:rsidRPr="005904BC">
        <w:rPr>
          <w:sz w:val="20"/>
          <w:szCs w:val="20"/>
        </w:rPr>
        <w:t>h) Başlangıç sermayesinin veya çıkarılmış sermayesinin %25’i oranındaki paylarının, bu Tebliğde belirlenen süre ve esaslar </w:t>
      </w:r>
      <w:proofErr w:type="gramStart"/>
      <w:r w:rsidRPr="005904BC">
        <w:rPr>
          <w:sz w:val="20"/>
          <w:szCs w:val="20"/>
        </w:rPr>
        <w:t>dahilinde</w:t>
      </w:r>
      <w:proofErr w:type="gramEnd"/>
      <w:r w:rsidRPr="005904BC">
        <w:rPr>
          <w:sz w:val="20"/>
          <w:szCs w:val="20"/>
        </w:rPr>
        <w:t> halka arz edileceğinin, münhasıran altyapı yatırım ve hizmetlerinden oluşan portföyü işletecek ise halka arz edileceğinin veya nitelikli yatırımcıya satılacağının Kurula karşı taahhüt edilmiş olması,</w:t>
      </w:r>
    </w:p>
    <w:p w:rsidR="005904BC" w:rsidRPr="005904BC" w:rsidRDefault="005904BC" w:rsidP="005904BC">
      <w:pPr>
        <w:pStyle w:val="NormalWeb"/>
        <w:rPr>
          <w:sz w:val="20"/>
          <w:szCs w:val="20"/>
        </w:rPr>
      </w:pPr>
      <w:r w:rsidRPr="005904BC">
        <w:rPr>
          <w:sz w:val="20"/>
          <w:szCs w:val="20"/>
        </w:rPr>
        <w:t xml:space="preserve">ı) Sermayesinin, son iki yıl içinde, varlıkların rayiç değere taşınması suretiyle oluşan fonlardan artırılmamış olması </w:t>
      </w:r>
    </w:p>
    <w:p w:rsidR="005904BC" w:rsidRPr="005904BC" w:rsidRDefault="005904BC" w:rsidP="005904BC">
      <w:pPr>
        <w:pStyle w:val="NormalWeb"/>
        <w:rPr>
          <w:sz w:val="20"/>
          <w:szCs w:val="20"/>
        </w:rPr>
      </w:pPr>
      <w:proofErr w:type="gramStart"/>
      <w:r w:rsidRPr="005904BC">
        <w:rPr>
          <w:sz w:val="20"/>
          <w:szCs w:val="20"/>
        </w:rPr>
        <w:t>zorunludur</w:t>
      </w:r>
      <w:proofErr w:type="gramEnd"/>
      <w:r w:rsidRPr="005904BC">
        <w:rPr>
          <w:sz w:val="20"/>
          <w:szCs w:val="20"/>
        </w:rPr>
        <w:t>.</w:t>
      </w:r>
    </w:p>
    <w:p w:rsidR="005904BC" w:rsidRPr="005904BC" w:rsidRDefault="005904BC" w:rsidP="005904BC">
      <w:pPr>
        <w:pStyle w:val="NormalWeb"/>
        <w:rPr>
          <w:sz w:val="20"/>
          <w:szCs w:val="20"/>
        </w:rPr>
      </w:pPr>
      <w:r w:rsidRPr="005904BC">
        <w:rPr>
          <w:sz w:val="20"/>
          <w:szCs w:val="20"/>
        </w:rPr>
        <w:t>(3) Diğer yatırım ortaklıklarının ve halka açık ortaklıkların gayrimenkul yatırım ortaklığına dönüşüm başvurularında, ikinci fıkranın (g) bendinde yer alan, </w:t>
      </w:r>
      <w:proofErr w:type="gramStart"/>
      <w:r w:rsidRPr="005904BC">
        <w:rPr>
          <w:sz w:val="20"/>
          <w:szCs w:val="20"/>
        </w:rPr>
        <w:t>portföydeki</w:t>
      </w:r>
      <w:proofErr w:type="gramEnd"/>
      <w:r w:rsidRPr="005904BC">
        <w:rPr>
          <w:sz w:val="20"/>
          <w:szCs w:val="20"/>
        </w:rPr>
        <w:t> varlıkların ortaklık aktif toplamına oranının bu Tebliğdeki sınırlamalara uygun hale getirilmesi şartının, dönüşüme ilişkin esas sözleşme değişikliklerinin ticaret siciline tescilini takip eden en geç </w:t>
      </w:r>
      <w:proofErr w:type="spellStart"/>
      <w:r w:rsidRPr="005904BC">
        <w:rPr>
          <w:sz w:val="20"/>
          <w:szCs w:val="20"/>
        </w:rPr>
        <w:t>altıay</w:t>
      </w:r>
      <w:proofErr w:type="spellEnd"/>
      <w:r w:rsidRPr="005904BC">
        <w:rPr>
          <w:sz w:val="20"/>
          <w:szCs w:val="20"/>
        </w:rPr>
        <w:t xml:space="preserve"> içerisinde sağlanması gerekir. Söz konusu süre içinde gerekli uygunluğu sağlamayan ortaklıkların, gayrimenkul yatırım ortaklığı olarak faaliyette bulunma hakları ortadan kalkar. Ortaklıklar, ilgili sürenin bitiminden itibaren en geç üç ay içinde esas sözleşme hükümlerini gayrimenkul yatırım ortaklığı faaliyetini kapsamayacak şekilde değiştirmek üzere Kurula başvurmakla yükümlüdürler. Söz konusu yükümlülüğün yerine getirilmesinden ortaklık yönetim kurulu veya yönetim kurulunca yetkilendirilmiş olması halinde ilgili murahhas üye sorumludur.</w:t>
      </w:r>
    </w:p>
    <w:p w:rsidR="005904BC" w:rsidRPr="005904BC" w:rsidRDefault="005904BC" w:rsidP="005904BC">
      <w:pPr>
        <w:pStyle w:val="NormalWeb"/>
        <w:rPr>
          <w:sz w:val="20"/>
          <w:szCs w:val="20"/>
        </w:rPr>
      </w:pPr>
      <w:r w:rsidRPr="005904BC">
        <w:rPr>
          <w:sz w:val="20"/>
          <w:szCs w:val="20"/>
        </w:rPr>
        <w:t>(4) Münhasıran altyapı yatırım ve hizmetlerinden oluşan </w:t>
      </w:r>
      <w:proofErr w:type="gramStart"/>
      <w:r w:rsidRPr="005904BC">
        <w:rPr>
          <w:sz w:val="20"/>
          <w:szCs w:val="20"/>
        </w:rPr>
        <w:t>portföyü</w:t>
      </w:r>
      <w:proofErr w:type="gramEnd"/>
      <w:r w:rsidRPr="005904BC">
        <w:rPr>
          <w:sz w:val="20"/>
          <w:szCs w:val="20"/>
        </w:rPr>
        <w:t> işletecek ortaklıklarda;</w:t>
      </w:r>
    </w:p>
    <w:p w:rsidR="005904BC" w:rsidRPr="005904BC" w:rsidRDefault="005904BC" w:rsidP="005904BC">
      <w:pPr>
        <w:pStyle w:val="NormalWeb"/>
        <w:rPr>
          <w:sz w:val="20"/>
          <w:szCs w:val="20"/>
        </w:rPr>
      </w:pPr>
      <w:r w:rsidRPr="005904BC">
        <w:rPr>
          <w:sz w:val="20"/>
          <w:szCs w:val="20"/>
        </w:rPr>
        <w:t>a) Ortaklardan en az birinin kamu kurum ve kuruluşu niteliğinde tüzel kişi olması ve ortaklık sermayesine en az %20 oranında iştirak etmesi halinde;</w:t>
      </w:r>
    </w:p>
    <w:p w:rsidR="005904BC" w:rsidRPr="005904BC" w:rsidRDefault="005904BC" w:rsidP="005904BC">
      <w:pPr>
        <w:pStyle w:val="NormalWeb"/>
        <w:rPr>
          <w:sz w:val="20"/>
          <w:szCs w:val="20"/>
        </w:rPr>
      </w:pPr>
      <w:r w:rsidRPr="005904BC">
        <w:rPr>
          <w:sz w:val="20"/>
          <w:szCs w:val="20"/>
        </w:rPr>
        <w:lastRenderedPageBreak/>
        <w:t>1) İkinci fıkranın (b) bendinde yer alan başlangıç sermayesi 5.000.000 TL olarak uygulanır. Ancak, 11/A maddesi kapsamında yapılacak pay satışının sermaye artırımı şeklinde yapılması sonucunda çıkarılmış sermayenin asgari 100.000.000 TL’ye ulaşması zorunludur.</w:t>
      </w:r>
    </w:p>
    <w:p w:rsidR="005904BC" w:rsidRPr="005904BC" w:rsidRDefault="005904BC" w:rsidP="005904BC">
      <w:pPr>
        <w:pStyle w:val="NormalWeb"/>
        <w:rPr>
          <w:sz w:val="20"/>
          <w:szCs w:val="20"/>
        </w:rPr>
      </w:pPr>
      <w:r w:rsidRPr="005904BC">
        <w:rPr>
          <w:sz w:val="20"/>
          <w:szCs w:val="20"/>
        </w:rPr>
        <w:t>2) İkinci fıkranın (c) bendinde yer alan sermayenin asgari 10.000.000 TL’sinin nakit karşılığı olması </w:t>
      </w:r>
      <w:proofErr w:type="spellStart"/>
      <w:r w:rsidRPr="005904BC">
        <w:rPr>
          <w:sz w:val="20"/>
          <w:szCs w:val="20"/>
        </w:rPr>
        <w:t>şartıuygulanmaz</w:t>
      </w:r>
      <w:proofErr w:type="spellEnd"/>
      <w:r w:rsidRPr="005904BC">
        <w:rPr>
          <w:sz w:val="20"/>
          <w:szCs w:val="20"/>
        </w:rPr>
        <w:t>.</w:t>
      </w:r>
    </w:p>
    <w:p w:rsidR="005904BC" w:rsidRPr="005904BC" w:rsidRDefault="005904BC" w:rsidP="005904BC">
      <w:pPr>
        <w:pStyle w:val="NormalWeb"/>
        <w:rPr>
          <w:sz w:val="20"/>
          <w:szCs w:val="20"/>
        </w:rPr>
      </w:pPr>
      <w:r w:rsidRPr="005904BC">
        <w:rPr>
          <w:sz w:val="20"/>
          <w:szCs w:val="20"/>
        </w:rPr>
        <w:t>b) İkinci fıkranın (d) bendinde yer alan şartlar, kamu kurum ve kuruluşu niteliğindeki tüzel kişilerde aranmaz.</w:t>
      </w:r>
    </w:p>
    <w:p w:rsidR="005904BC" w:rsidRPr="005904BC" w:rsidRDefault="005904BC" w:rsidP="005904BC">
      <w:pPr>
        <w:pStyle w:val="NormalWeb"/>
        <w:rPr>
          <w:sz w:val="20"/>
          <w:szCs w:val="20"/>
        </w:rPr>
      </w:pPr>
      <w:r w:rsidRPr="005904BC">
        <w:rPr>
          <w:sz w:val="20"/>
          <w:szCs w:val="20"/>
        </w:rPr>
        <w:t xml:space="preserve">c) Ortakların kendi özel mevzuatları uyarınca başka bir makam veya organın karar veya onayı gerekiyor ise kuruluş veya dönüşüm başvurusunda bu karar veya onayın bulunması şarttır.” </w:t>
      </w:r>
    </w:p>
    <w:p w:rsidR="005904BC" w:rsidRPr="005904BC" w:rsidRDefault="005904BC" w:rsidP="005904BC">
      <w:pPr>
        <w:pStyle w:val="NormalWeb"/>
        <w:rPr>
          <w:sz w:val="20"/>
          <w:szCs w:val="20"/>
        </w:rPr>
      </w:pPr>
      <w:r w:rsidRPr="005904BC">
        <w:rPr>
          <w:rStyle w:val="Gl"/>
          <w:sz w:val="20"/>
          <w:szCs w:val="20"/>
        </w:rPr>
        <w:t>MADDE 6 –</w:t>
      </w:r>
      <w:r w:rsidRPr="005904BC">
        <w:rPr>
          <w:sz w:val="20"/>
          <w:szCs w:val="20"/>
        </w:rPr>
        <w:t> Aynı Tebliğin 7 </w:t>
      </w:r>
      <w:proofErr w:type="spellStart"/>
      <w:r w:rsidRPr="005904BC">
        <w:rPr>
          <w:sz w:val="20"/>
          <w:szCs w:val="20"/>
        </w:rPr>
        <w:t>nci</w:t>
      </w:r>
      <w:proofErr w:type="spellEnd"/>
      <w:r w:rsidRPr="005904BC">
        <w:rPr>
          <w:sz w:val="20"/>
          <w:szCs w:val="20"/>
        </w:rPr>
        <w:t> maddesinin birinci fıkrasına aşağıdaki (ğ) ve (h) bentleri eklenmiştir.</w:t>
      </w:r>
    </w:p>
    <w:p w:rsidR="005904BC" w:rsidRPr="005904BC" w:rsidRDefault="005904BC" w:rsidP="005904BC">
      <w:pPr>
        <w:pStyle w:val="NormalWeb"/>
        <w:rPr>
          <w:sz w:val="20"/>
          <w:szCs w:val="20"/>
        </w:rPr>
      </w:pPr>
      <w:r w:rsidRPr="005904BC">
        <w:rPr>
          <w:sz w:val="20"/>
          <w:szCs w:val="20"/>
        </w:rPr>
        <w:t>“ğ) </w:t>
      </w:r>
      <w:proofErr w:type="gramStart"/>
      <w:r w:rsidRPr="005904BC">
        <w:rPr>
          <w:sz w:val="20"/>
          <w:szCs w:val="20"/>
        </w:rPr>
        <w:t>7/2/2013</w:t>
      </w:r>
      <w:proofErr w:type="gramEnd"/>
      <w:r w:rsidRPr="005904BC">
        <w:rPr>
          <w:sz w:val="20"/>
          <w:szCs w:val="20"/>
        </w:rPr>
        <w:t xml:space="preserve"> tarihli ve 6415 sayılı Terörizmin Finansmanının Önlenmesi Hakkında Kanunda düzenlenen suçlardan mahkum olmaması,” </w:t>
      </w:r>
    </w:p>
    <w:p w:rsidR="005904BC" w:rsidRPr="005904BC" w:rsidRDefault="005904BC" w:rsidP="005904BC">
      <w:pPr>
        <w:pStyle w:val="NormalWeb"/>
        <w:rPr>
          <w:sz w:val="20"/>
          <w:szCs w:val="20"/>
        </w:rPr>
      </w:pPr>
      <w:r w:rsidRPr="005904BC">
        <w:rPr>
          <w:sz w:val="20"/>
          <w:szCs w:val="20"/>
        </w:rPr>
        <w:t xml:space="preserve">“h) Kanunun 101 inci maddesinin birinci fıkrasının (a) bendi uyarınca işlem yasaklı olmaması” </w:t>
      </w:r>
    </w:p>
    <w:p w:rsidR="005904BC" w:rsidRPr="005904BC" w:rsidRDefault="005904BC" w:rsidP="005904BC">
      <w:pPr>
        <w:pStyle w:val="NormalWeb"/>
        <w:rPr>
          <w:sz w:val="20"/>
          <w:szCs w:val="20"/>
        </w:rPr>
      </w:pPr>
      <w:r w:rsidRPr="005904BC">
        <w:rPr>
          <w:rStyle w:val="Gl"/>
          <w:sz w:val="20"/>
          <w:szCs w:val="20"/>
        </w:rPr>
        <w:t>MADDE 7 –</w:t>
      </w:r>
      <w:r w:rsidRPr="005904BC">
        <w:rPr>
          <w:sz w:val="20"/>
          <w:szCs w:val="20"/>
        </w:rPr>
        <w:t> Aynı Tebliğin 8 inci maddesinin birinci ve ikinci fıkraları aşağıdaki şekilde değiştirilmiştir.</w:t>
      </w:r>
    </w:p>
    <w:p w:rsidR="005904BC" w:rsidRPr="005904BC" w:rsidRDefault="005904BC" w:rsidP="005904BC">
      <w:pPr>
        <w:pStyle w:val="NormalWeb"/>
        <w:rPr>
          <w:sz w:val="20"/>
          <w:szCs w:val="20"/>
        </w:rPr>
      </w:pPr>
      <w:r w:rsidRPr="005904BC">
        <w:rPr>
          <w:sz w:val="20"/>
          <w:szCs w:val="20"/>
        </w:rPr>
        <w:t xml:space="preserve">“(1) Kurulacak veya dönüşecek olan ortaklıkların, şekli ve esasları Kurulca belirlenecek standart form ve bu formda belirtilen belgelerle birlikte Kurula başvurmaları zorunludur.” </w:t>
      </w:r>
    </w:p>
    <w:p w:rsidR="005904BC" w:rsidRPr="005904BC" w:rsidRDefault="005904BC" w:rsidP="005904BC">
      <w:pPr>
        <w:pStyle w:val="NormalWeb"/>
        <w:rPr>
          <w:sz w:val="20"/>
          <w:szCs w:val="20"/>
        </w:rPr>
      </w:pPr>
      <w:r w:rsidRPr="005904BC">
        <w:rPr>
          <w:sz w:val="20"/>
          <w:szCs w:val="20"/>
        </w:rPr>
        <w:t xml:space="preserve">“(2) Kurul, başvuruyu Kanun ve bu Tebliğ hükümlerine uygunluk yönünden inceler. Kurulca başvurunun uygun görülmesi halinde; altyapı faaliyetlerine ilişkin olarak ilgili makamlardan alınması gerekli diğer izin ve onaylara ilişkin mevzuat hükümleri saklı kalmak üzere, kuruluşta kuruluşun, dönüşümde ise esas sözleşme değişikliklerinin </w:t>
      </w:r>
      <w:proofErr w:type="spellStart"/>
      <w:r w:rsidRPr="005904BC">
        <w:rPr>
          <w:sz w:val="20"/>
          <w:szCs w:val="20"/>
        </w:rPr>
        <w:t>onaylanmasıtalebi</w:t>
      </w:r>
      <w:proofErr w:type="spellEnd"/>
      <w:r w:rsidRPr="005904BC">
        <w:rPr>
          <w:sz w:val="20"/>
          <w:szCs w:val="20"/>
        </w:rPr>
        <w:t xml:space="preserve"> ile Bakanlığa başvurulur.” </w:t>
      </w:r>
    </w:p>
    <w:p w:rsidR="005904BC" w:rsidRPr="005904BC" w:rsidRDefault="005904BC" w:rsidP="005904BC">
      <w:pPr>
        <w:pStyle w:val="NormalWeb"/>
        <w:rPr>
          <w:sz w:val="20"/>
          <w:szCs w:val="20"/>
        </w:rPr>
      </w:pPr>
      <w:r w:rsidRPr="005904BC">
        <w:rPr>
          <w:rStyle w:val="Gl"/>
          <w:sz w:val="20"/>
          <w:szCs w:val="20"/>
        </w:rPr>
        <w:t>MADDE 8 – </w:t>
      </w:r>
      <w:r w:rsidRPr="005904BC">
        <w:rPr>
          <w:sz w:val="20"/>
          <w:szCs w:val="20"/>
        </w:rPr>
        <w:t>Aynı Tebliğin 9 uncu maddesinin birinci, ikinci ve beşinci fıkraları aşağıdaki şekilde değiştirilmiştir.</w:t>
      </w:r>
    </w:p>
    <w:p w:rsidR="005904BC" w:rsidRPr="005904BC" w:rsidRDefault="005904BC" w:rsidP="005904BC">
      <w:pPr>
        <w:pStyle w:val="NormalWeb"/>
        <w:rPr>
          <w:sz w:val="20"/>
          <w:szCs w:val="20"/>
        </w:rPr>
      </w:pPr>
      <w:r w:rsidRPr="005904BC">
        <w:rPr>
          <w:sz w:val="20"/>
          <w:szCs w:val="20"/>
        </w:rPr>
        <w:t>“(1) Ortaklık kuruluşlarında ve sermaye artırımlarında, ancak üzerinde ipotek bulunmayan veya gayrimenkulün değerini doğrudan ve önemli ölçüde etkileyecek nitelikte herhangi bir </w:t>
      </w:r>
      <w:proofErr w:type="spellStart"/>
      <w:r w:rsidRPr="005904BC">
        <w:rPr>
          <w:sz w:val="20"/>
          <w:szCs w:val="20"/>
        </w:rPr>
        <w:t>takyidat</w:t>
      </w:r>
      <w:proofErr w:type="spellEnd"/>
      <w:r w:rsidRPr="005904BC">
        <w:rPr>
          <w:sz w:val="20"/>
          <w:szCs w:val="20"/>
        </w:rPr>
        <w:t> şerhi olmayan gayrimenkuller ve gayrimenkule dayalı ayni haklar </w:t>
      </w:r>
      <w:proofErr w:type="spellStart"/>
      <w:r w:rsidRPr="005904BC">
        <w:rPr>
          <w:sz w:val="20"/>
          <w:szCs w:val="20"/>
        </w:rPr>
        <w:t>TTK’nın</w:t>
      </w:r>
      <w:proofErr w:type="spellEnd"/>
      <w:r w:rsidRPr="005904BC">
        <w:rPr>
          <w:sz w:val="20"/>
          <w:szCs w:val="20"/>
        </w:rPr>
        <w:t> 342 ve 343 üncü maddeleri çerçevesinde ayni sermaye olarak konulabilir. Münhasıran altyapı yatırım ve hizmetlerinden oluşan </w:t>
      </w:r>
      <w:proofErr w:type="gramStart"/>
      <w:r w:rsidRPr="005904BC">
        <w:rPr>
          <w:sz w:val="20"/>
          <w:szCs w:val="20"/>
        </w:rPr>
        <w:t>portföyü</w:t>
      </w:r>
      <w:proofErr w:type="gramEnd"/>
      <w:r w:rsidRPr="005904BC">
        <w:rPr>
          <w:sz w:val="20"/>
          <w:szCs w:val="20"/>
        </w:rPr>
        <w:t xml:space="preserve"> işletecek ortaklıklarda bu fıkrada sayılan varlıklara ek olarak Kurulca uygun görülecek varlıklar da ayni sermaye olarak konulabilir. Ancak, gerek kuruluşta gerekse sermaye </w:t>
      </w:r>
      <w:proofErr w:type="spellStart"/>
      <w:r w:rsidRPr="005904BC">
        <w:rPr>
          <w:sz w:val="20"/>
          <w:szCs w:val="20"/>
        </w:rPr>
        <w:t>artırımısonrasında</w:t>
      </w:r>
      <w:proofErr w:type="spellEnd"/>
      <w:r w:rsidRPr="005904BC">
        <w:rPr>
          <w:sz w:val="20"/>
          <w:szCs w:val="20"/>
        </w:rPr>
        <w:t>, çıkarılmış sermayenin nakden ödenen kısmının 6 </w:t>
      </w:r>
      <w:proofErr w:type="spellStart"/>
      <w:r w:rsidRPr="005904BC">
        <w:rPr>
          <w:sz w:val="20"/>
          <w:szCs w:val="20"/>
        </w:rPr>
        <w:t>ncı</w:t>
      </w:r>
      <w:proofErr w:type="spellEnd"/>
      <w:r w:rsidRPr="005904BC">
        <w:rPr>
          <w:sz w:val="20"/>
          <w:szCs w:val="20"/>
        </w:rPr>
        <w:t xml:space="preserve"> maddenin ikinci fıkrasının (c) bendinde belirtilen oranın/tutarın altına düşmemesi zorunludur.” </w:t>
      </w:r>
    </w:p>
    <w:p w:rsidR="005904BC" w:rsidRPr="005904BC" w:rsidRDefault="005904BC" w:rsidP="005904BC">
      <w:pPr>
        <w:pStyle w:val="NormalWeb"/>
        <w:rPr>
          <w:sz w:val="20"/>
          <w:szCs w:val="20"/>
        </w:rPr>
      </w:pPr>
      <w:r w:rsidRPr="005904BC">
        <w:rPr>
          <w:sz w:val="20"/>
          <w:szCs w:val="20"/>
        </w:rPr>
        <w:t>“(2) Kuruluşta ayni sermaye konması durumunda, konulan ayni sermayeye </w:t>
      </w:r>
      <w:proofErr w:type="spellStart"/>
      <w:r w:rsidRPr="005904BC">
        <w:rPr>
          <w:sz w:val="20"/>
          <w:szCs w:val="20"/>
        </w:rPr>
        <w:t>TTK’nın</w:t>
      </w:r>
      <w:proofErr w:type="spellEnd"/>
      <w:r w:rsidRPr="005904BC">
        <w:rPr>
          <w:sz w:val="20"/>
          <w:szCs w:val="20"/>
        </w:rPr>
        <w:t> 343 üncü </w:t>
      </w:r>
      <w:proofErr w:type="spellStart"/>
      <w:r w:rsidRPr="005904BC">
        <w:rPr>
          <w:sz w:val="20"/>
          <w:szCs w:val="20"/>
        </w:rPr>
        <w:t>maddesiçerçevesinde</w:t>
      </w:r>
      <w:proofErr w:type="spellEnd"/>
      <w:r w:rsidRPr="005904BC">
        <w:rPr>
          <w:sz w:val="20"/>
          <w:szCs w:val="20"/>
        </w:rPr>
        <w:t xml:space="preserve"> değer biçilir. Buna ek olarak, bu Tebliğin sekizinci bölümünde belirtilen esaslar çerçevesinde ayni sermayenin değer tespitine yönelik rapor hazırlatılır. Hazırlanan raporlarda ulaşılan tutarlardan düşük olanı ayni sermaye olarak esas alınır.” </w:t>
      </w:r>
    </w:p>
    <w:p w:rsidR="005904BC" w:rsidRPr="005904BC" w:rsidRDefault="005904BC" w:rsidP="005904BC">
      <w:pPr>
        <w:pStyle w:val="NormalWeb"/>
        <w:rPr>
          <w:sz w:val="20"/>
          <w:szCs w:val="20"/>
        </w:rPr>
      </w:pPr>
      <w:r w:rsidRPr="005904BC">
        <w:rPr>
          <w:sz w:val="20"/>
          <w:szCs w:val="20"/>
        </w:rPr>
        <w:t xml:space="preserve">“(5) Sermaye olarak konulacak gayrimenkuller ile gayrimenkullere dayalı ayni haklar, ortaklığın tüzel kişilik kazanması veya sermaye artırımının tescilinden itibaren en geç 10 iş günü içerisinde tapu sicilinde ortaklık adına tescil ettirilir. Diğer varlıklar için ise ilgili mevzuatta öngörülen süre ve şartlara uyulur. Söz konusu işlemin süresi içerisinde yaptırılmasından ortaklık yönetim kurulu veya yönetim kurulunca yetkilendirilmiş olması halinde ilgili murahhas üye sorumludur.” </w:t>
      </w:r>
    </w:p>
    <w:p w:rsidR="005904BC" w:rsidRPr="005904BC" w:rsidRDefault="005904BC" w:rsidP="005904BC">
      <w:pPr>
        <w:pStyle w:val="NormalWeb"/>
        <w:rPr>
          <w:sz w:val="20"/>
          <w:szCs w:val="20"/>
        </w:rPr>
      </w:pPr>
      <w:r w:rsidRPr="005904BC">
        <w:rPr>
          <w:rStyle w:val="Gl"/>
          <w:sz w:val="20"/>
          <w:szCs w:val="20"/>
        </w:rPr>
        <w:t>MADDE 9 – </w:t>
      </w:r>
      <w:r w:rsidRPr="005904BC">
        <w:rPr>
          <w:sz w:val="20"/>
          <w:szCs w:val="20"/>
        </w:rPr>
        <w:t>Aynı Tebliğin 10 uncu maddesi aşağıdaki şekilde değiştirilmiştir.</w:t>
      </w:r>
    </w:p>
    <w:p w:rsidR="005904BC" w:rsidRPr="005904BC" w:rsidRDefault="005904BC" w:rsidP="005904BC">
      <w:pPr>
        <w:pStyle w:val="NormalWeb"/>
        <w:rPr>
          <w:sz w:val="20"/>
          <w:szCs w:val="20"/>
        </w:rPr>
      </w:pPr>
      <w:r w:rsidRPr="005904BC">
        <w:rPr>
          <w:rStyle w:val="Gl"/>
          <w:sz w:val="20"/>
          <w:szCs w:val="20"/>
        </w:rPr>
        <w:t>“MADDE 10 –</w:t>
      </w:r>
      <w:r w:rsidRPr="005904BC">
        <w:rPr>
          <w:sz w:val="20"/>
          <w:szCs w:val="20"/>
        </w:rPr>
        <w:t> (1) Ortaklık paylarının ihracı ve satışında bu Tebliğde öngörülen özel hükümler dışında Kurulun payların ihracına, satışına, </w:t>
      </w:r>
      <w:proofErr w:type="spellStart"/>
      <w:r w:rsidRPr="005904BC">
        <w:rPr>
          <w:sz w:val="20"/>
          <w:szCs w:val="20"/>
        </w:rPr>
        <w:t>izahnamenin</w:t>
      </w:r>
      <w:proofErr w:type="spellEnd"/>
      <w:r w:rsidRPr="005904BC">
        <w:rPr>
          <w:sz w:val="20"/>
          <w:szCs w:val="20"/>
        </w:rPr>
        <w:t> ve ihraç belgesinin onaylanmasına ilişkin düzenleme hükümlerine uyulur.</w:t>
      </w:r>
    </w:p>
    <w:p w:rsidR="005904BC" w:rsidRPr="005904BC" w:rsidRDefault="005904BC" w:rsidP="005904BC">
      <w:pPr>
        <w:pStyle w:val="NormalWeb"/>
        <w:rPr>
          <w:sz w:val="20"/>
          <w:szCs w:val="20"/>
        </w:rPr>
      </w:pPr>
      <w:r w:rsidRPr="005904BC">
        <w:rPr>
          <w:sz w:val="20"/>
          <w:szCs w:val="20"/>
        </w:rPr>
        <w:lastRenderedPageBreak/>
        <w:t xml:space="preserve">(2) Ortaklıkların ayni sermaye karşılığı ihraç edecekleri payların da satışı yapılabilir.” </w:t>
      </w:r>
    </w:p>
    <w:p w:rsidR="005904BC" w:rsidRPr="005904BC" w:rsidRDefault="005904BC" w:rsidP="005904BC">
      <w:pPr>
        <w:pStyle w:val="NormalWeb"/>
        <w:rPr>
          <w:sz w:val="20"/>
          <w:szCs w:val="20"/>
        </w:rPr>
      </w:pPr>
      <w:r w:rsidRPr="005904BC">
        <w:rPr>
          <w:rStyle w:val="Gl"/>
          <w:sz w:val="20"/>
          <w:szCs w:val="20"/>
        </w:rPr>
        <w:t>MADDE 10 –</w:t>
      </w:r>
      <w:r w:rsidRPr="005904BC">
        <w:rPr>
          <w:sz w:val="20"/>
          <w:szCs w:val="20"/>
        </w:rPr>
        <w:t> Aynı Tebliğin 11 inci maddesi başlığıyla birlikte aşağıdaki şekilde değiştirilmiştir.</w:t>
      </w:r>
    </w:p>
    <w:p w:rsidR="005904BC" w:rsidRPr="005904BC" w:rsidRDefault="005904BC" w:rsidP="005904BC">
      <w:pPr>
        <w:pStyle w:val="NormalWeb"/>
        <w:rPr>
          <w:sz w:val="20"/>
          <w:szCs w:val="20"/>
        </w:rPr>
      </w:pPr>
      <w:r w:rsidRPr="005904BC">
        <w:rPr>
          <w:rStyle w:val="Gl"/>
          <w:sz w:val="20"/>
          <w:szCs w:val="20"/>
        </w:rPr>
        <w:t xml:space="preserve">“Halka arz yoluyla satış </w:t>
      </w:r>
    </w:p>
    <w:p w:rsidR="005904BC" w:rsidRPr="005904BC" w:rsidRDefault="005904BC" w:rsidP="005904BC">
      <w:pPr>
        <w:pStyle w:val="NormalWeb"/>
        <w:rPr>
          <w:sz w:val="20"/>
          <w:szCs w:val="20"/>
        </w:rPr>
      </w:pPr>
      <w:r w:rsidRPr="005904BC">
        <w:rPr>
          <w:rStyle w:val="Gl"/>
          <w:sz w:val="20"/>
          <w:szCs w:val="20"/>
        </w:rPr>
        <w:t>MADDE 11 –</w:t>
      </w:r>
      <w:r w:rsidRPr="005904BC">
        <w:rPr>
          <w:sz w:val="20"/>
          <w:szCs w:val="20"/>
        </w:rPr>
        <w:t> (1) Gayrimenkul yatırım ortaklığı olarak kurulan veya esas sözleşme tadili yoluyla gayrimenkul yatırım ortaklığına dönüşen ortaklıkların, paylarını halka arz yoluyla satabilmek için kuruluşlarının veya esas sözleşme değişikliklerinin ticaret siciline tescilini takip eden üç ay içinde faaliyetlerin yürütülebilmesi için gerekli olan mekan, donanım ve personeli temin etmeleri ve organizasyonu kurmaları, gayrimenkul yatırım ortaklığı olarak kurulan ortaklıkların 6 </w:t>
      </w:r>
      <w:proofErr w:type="spellStart"/>
      <w:r w:rsidRPr="005904BC">
        <w:rPr>
          <w:sz w:val="20"/>
          <w:szCs w:val="20"/>
        </w:rPr>
        <w:t>ncımaddenin</w:t>
      </w:r>
      <w:proofErr w:type="spellEnd"/>
      <w:r w:rsidRPr="005904BC">
        <w:rPr>
          <w:sz w:val="20"/>
          <w:szCs w:val="20"/>
        </w:rPr>
        <w:t xml:space="preserve"> ikinci fıkrasının (f) ve (g) bentleri kapsamında genel müdürün atanmasına ve portföye </w:t>
      </w:r>
      <w:proofErr w:type="gramStart"/>
      <w:r w:rsidRPr="005904BC">
        <w:rPr>
          <w:sz w:val="20"/>
          <w:szCs w:val="20"/>
        </w:rPr>
        <w:t>dahil</w:t>
      </w:r>
      <w:proofErr w:type="gramEnd"/>
      <w:r w:rsidRPr="005904BC">
        <w:rPr>
          <w:sz w:val="20"/>
          <w:szCs w:val="20"/>
        </w:rPr>
        <w:t> edilecek varlıklara ilişkin taahhütlerini yerine getirmeleri, şekli ve esasları Kurulca belirlenecek halka arz standart formunu ve formda belirtilen belgeleri tamamlayarak çıkarılmış sermayelerinin asgari %25’ini temsil eden payların halka arzına ilişkin </w:t>
      </w:r>
      <w:proofErr w:type="spellStart"/>
      <w:r w:rsidRPr="005904BC">
        <w:rPr>
          <w:sz w:val="20"/>
          <w:szCs w:val="20"/>
        </w:rPr>
        <w:t>izahnameninonaylanması</w:t>
      </w:r>
      <w:proofErr w:type="spellEnd"/>
      <w:r w:rsidRPr="005904BC">
        <w:rPr>
          <w:sz w:val="20"/>
          <w:szCs w:val="20"/>
        </w:rPr>
        <w:t> talebiyle Kurula başvurmaları zorunludur.</w:t>
      </w:r>
    </w:p>
    <w:p w:rsidR="005904BC" w:rsidRPr="005904BC" w:rsidRDefault="005904BC" w:rsidP="005904BC">
      <w:pPr>
        <w:pStyle w:val="NormalWeb"/>
        <w:rPr>
          <w:sz w:val="20"/>
          <w:szCs w:val="20"/>
        </w:rPr>
      </w:pPr>
      <w:r w:rsidRPr="005904BC">
        <w:rPr>
          <w:sz w:val="20"/>
          <w:szCs w:val="20"/>
        </w:rPr>
        <w:t>(2) Halka arz sonrasında, ortaklığın çıkarılmış sermayesinin asgari %25’i oranındaki paylarının halka açık pay niteliğinde olması zorunludur.</w:t>
      </w:r>
    </w:p>
    <w:p w:rsidR="005904BC" w:rsidRPr="005904BC" w:rsidRDefault="005904BC" w:rsidP="005904BC">
      <w:pPr>
        <w:pStyle w:val="NormalWeb"/>
        <w:rPr>
          <w:sz w:val="20"/>
          <w:szCs w:val="20"/>
        </w:rPr>
      </w:pPr>
      <w:r w:rsidRPr="005904BC">
        <w:rPr>
          <w:sz w:val="20"/>
          <w:szCs w:val="20"/>
        </w:rPr>
        <w:t>(3) Birinci fıkrada belirtilen süre içinde halka arz standart formunu ve formda belirtilen belgeleri tamamlayarak Kurula başvurmayan veya gerekli şartları sağlamadığı için başvurusu Kurulca onaylanmayan ortaklıkların, gayrimenkul yatırım ortaklığı olarak faaliyette bulunma hakları ortadan kalkar. Ortaklıklar, ilgili sürenin bitiminden veya Kurulun olumsuz görüşünün kendilerine bildirildiği tarihten itibaren en geç üç ay içinde esas sözleşme hükümlerini gayrimenkul yatırım ortaklığı faaliyetini kapsamayacak şekilde değiştirmek ve kayıtlı sermaye sisteminden çıkmak üzere Kurula başvurmakla yükümlüdürler. Ortaklıklar bu değişiklikleri yapmadıkları takdirde, </w:t>
      </w:r>
      <w:proofErr w:type="spellStart"/>
      <w:r w:rsidRPr="005904BC">
        <w:rPr>
          <w:sz w:val="20"/>
          <w:szCs w:val="20"/>
        </w:rPr>
        <w:t>TTK’nın</w:t>
      </w:r>
      <w:proofErr w:type="spellEnd"/>
      <w:r w:rsidRPr="005904BC">
        <w:rPr>
          <w:sz w:val="20"/>
          <w:szCs w:val="20"/>
        </w:rPr>
        <w:t xml:space="preserve"> 529 uncu maddesinin birinci fıkrasının (b) ve (c) bentleri hükümleri gereğince sona ermiş sayılır.” </w:t>
      </w:r>
    </w:p>
    <w:p w:rsidR="005904BC" w:rsidRPr="005904BC" w:rsidRDefault="005904BC" w:rsidP="005904BC">
      <w:pPr>
        <w:pStyle w:val="NormalWeb"/>
        <w:rPr>
          <w:sz w:val="20"/>
          <w:szCs w:val="20"/>
        </w:rPr>
      </w:pPr>
      <w:r w:rsidRPr="005904BC">
        <w:rPr>
          <w:rStyle w:val="Gl"/>
          <w:sz w:val="20"/>
          <w:szCs w:val="20"/>
        </w:rPr>
        <w:t>MADDE 11 –</w:t>
      </w:r>
      <w:r w:rsidRPr="005904BC">
        <w:rPr>
          <w:sz w:val="20"/>
          <w:szCs w:val="20"/>
        </w:rPr>
        <w:t> Aynı Tebliğe 11 inci maddeden sonra gelmek üzere aşağıdaki 11/A maddesi eklenmiştir.</w:t>
      </w:r>
    </w:p>
    <w:p w:rsidR="005904BC" w:rsidRPr="005904BC" w:rsidRDefault="005904BC" w:rsidP="005904BC">
      <w:pPr>
        <w:pStyle w:val="NormalWeb"/>
        <w:rPr>
          <w:sz w:val="20"/>
          <w:szCs w:val="20"/>
        </w:rPr>
      </w:pPr>
      <w:r w:rsidRPr="005904BC">
        <w:rPr>
          <w:rStyle w:val="Gl"/>
          <w:sz w:val="20"/>
          <w:szCs w:val="20"/>
        </w:rPr>
        <w:t>“Münhasıran altyapı yatırım ve hizmetlerine yatırım yapacak ortaklıklara ilişkin özel hükümler</w:t>
      </w:r>
    </w:p>
    <w:p w:rsidR="005904BC" w:rsidRPr="005904BC" w:rsidRDefault="005904BC" w:rsidP="005904BC">
      <w:pPr>
        <w:pStyle w:val="NormalWeb"/>
        <w:rPr>
          <w:sz w:val="20"/>
          <w:szCs w:val="20"/>
        </w:rPr>
      </w:pPr>
      <w:r w:rsidRPr="005904BC">
        <w:rPr>
          <w:rStyle w:val="Gl"/>
          <w:sz w:val="20"/>
          <w:szCs w:val="20"/>
        </w:rPr>
        <w:t>MADDE 11/A – </w:t>
      </w:r>
      <w:r w:rsidRPr="005904BC">
        <w:rPr>
          <w:sz w:val="20"/>
          <w:szCs w:val="20"/>
        </w:rPr>
        <w:t>(1) Aktif toplamının asgari %75’i altyapı yatırım ve hizmetlerinden oluşan/oluşacak ortaklıkların kuruluşlarının veya esas sözleşme değişikliklerinin ticaret siciline tescilini takip eden iki yıl içinde faaliyetlerin yürütülebilmesi için gerekli olan mekân, donanım ve personeli temin ederek organizasyonu kurmaları, </w:t>
      </w:r>
      <w:proofErr w:type="gramStart"/>
      <w:r w:rsidRPr="005904BC">
        <w:rPr>
          <w:sz w:val="20"/>
          <w:szCs w:val="20"/>
        </w:rPr>
        <w:t>portföyünde</w:t>
      </w:r>
      <w:proofErr w:type="gramEnd"/>
      <w:r w:rsidRPr="005904BC">
        <w:rPr>
          <w:sz w:val="20"/>
          <w:szCs w:val="20"/>
        </w:rPr>
        <w:t> yer alan varlıkların niteliklerinin ve ortaklık aktif toplamı içinde sahip oldukları ağırlıkların belirtilen niteliklere ve sınırlamalara uygunluğunu sağlamaları ve bu durumu tevsik edici bilgi ve belgeleri Kurula iletmeleri gereklidir.</w:t>
      </w:r>
    </w:p>
    <w:p w:rsidR="005904BC" w:rsidRPr="005904BC" w:rsidRDefault="005904BC" w:rsidP="005904BC">
      <w:pPr>
        <w:pStyle w:val="NormalWeb"/>
        <w:rPr>
          <w:sz w:val="20"/>
          <w:szCs w:val="20"/>
        </w:rPr>
      </w:pPr>
      <w:r w:rsidRPr="005904BC">
        <w:rPr>
          <w:sz w:val="20"/>
          <w:szCs w:val="20"/>
        </w:rPr>
        <w:t>(2) Bu ortaklıkların paylarını halka arz yoluyla satabilmeleri için; ortaklık çıkarılmış sermayesinin;</w:t>
      </w:r>
    </w:p>
    <w:p w:rsidR="005904BC" w:rsidRPr="005904BC" w:rsidRDefault="005904BC" w:rsidP="005904BC">
      <w:pPr>
        <w:pStyle w:val="NormalWeb"/>
        <w:rPr>
          <w:sz w:val="20"/>
          <w:szCs w:val="20"/>
        </w:rPr>
      </w:pPr>
      <w:r w:rsidRPr="005904BC">
        <w:rPr>
          <w:sz w:val="20"/>
          <w:szCs w:val="20"/>
        </w:rPr>
        <w:t>a) 200.000.000 TL’den az olması halinde en geç birinci fıkrada yer alan sürenin bitimini takip eden iki yıl içinde,</w:t>
      </w:r>
    </w:p>
    <w:p w:rsidR="005904BC" w:rsidRPr="005904BC" w:rsidRDefault="005904BC" w:rsidP="005904BC">
      <w:pPr>
        <w:pStyle w:val="NormalWeb"/>
        <w:rPr>
          <w:sz w:val="20"/>
          <w:szCs w:val="20"/>
        </w:rPr>
      </w:pPr>
      <w:r w:rsidRPr="005904BC">
        <w:rPr>
          <w:sz w:val="20"/>
          <w:szCs w:val="20"/>
        </w:rPr>
        <w:t>b) 200.000.000 TL ve daha fazla olması halinde en geç birinci fıkrada yer alan sürenin bitimini takip eden dört yıl içinde,</w:t>
      </w:r>
    </w:p>
    <w:p w:rsidR="005904BC" w:rsidRPr="005904BC" w:rsidRDefault="005904BC" w:rsidP="005904BC">
      <w:pPr>
        <w:pStyle w:val="NormalWeb"/>
        <w:rPr>
          <w:sz w:val="20"/>
          <w:szCs w:val="20"/>
        </w:rPr>
      </w:pPr>
      <w:proofErr w:type="gramStart"/>
      <w:r w:rsidRPr="005904BC">
        <w:rPr>
          <w:sz w:val="20"/>
          <w:szCs w:val="20"/>
        </w:rPr>
        <w:t>şekli</w:t>
      </w:r>
      <w:proofErr w:type="gramEnd"/>
      <w:r w:rsidRPr="005904BC">
        <w:rPr>
          <w:sz w:val="20"/>
          <w:szCs w:val="20"/>
        </w:rPr>
        <w:t xml:space="preserve"> ve esasları Kurulca belirlenecek halka arz standart formunu ve formda belirtilen belgeleri </w:t>
      </w:r>
      <w:proofErr w:type="spellStart"/>
      <w:r w:rsidRPr="005904BC">
        <w:rPr>
          <w:sz w:val="20"/>
          <w:szCs w:val="20"/>
        </w:rPr>
        <w:t>tamamlayarakçıkarılmış</w:t>
      </w:r>
      <w:proofErr w:type="spellEnd"/>
      <w:r w:rsidRPr="005904BC">
        <w:rPr>
          <w:sz w:val="20"/>
          <w:szCs w:val="20"/>
        </w:rPr>
        <w:t> sermayelerinin asgari %25’ini temsil eden payların halka arzına ilişkin </w:t>
      </w:r>
      <w:proofErr w:type="spellStart"/>
      <w:r w:rsidRPr="005904BC">
        <w:rPr>
          <w:sz w:val="20"/>
          <w:szCs w:val="20"/>
        </w:rPr>
        <w:t>izahnamenin</w:t>
      </w:r>
      <w:proofErr w:type="spellEnd"/>
      <w:r w:rsidRPr="005904BC">
        <w:rPr>
          <w:sz w:val="20"/>
          <w:szCs w:val="20"/>
        </w:rPr>
        <w:t> onaylanması talebiyle Kurula başvurmaları zorunludur.</w:t>
      </w:r>
    </w:p>
    <w:p w:rsidR="005904BC" w:rsidRPr="005904BC" w:rsidRDefault="005904BC" w:rsidP="005904BC">
      <w:pPr>
        <w:pStyle w:val="NormalWeb"/>
        <w:rPr>
          <w:sz w:val="20"/>
          <w:szCs w:val="20"/>
        </w:rPr>
      </w:pPr>
      <w:r w:rsidRPr="005904BC">
        <w:rPr>
          <w:sz w:val="20"/>
          <w:szCs w:val="20"/>
        </w:rPr>
        <w:t>(3) Halka arz sonrasında, ortaklığın çıkarılmış sermayesinin asgari %25’i oranındaki paylarının halka açık pay niteliğinde olması zorunludur.</w:t>
      </w:r>
    </w:p>
    <w:p w:rsidR="005904BC" w:rsidRPr="005904BC" w:rsidRDefault="005904BC" w:rsidP="005904BC">
      <w:pPr>
        <w:pStyle w:val="NormalWeb"/>
        <w:rPr>
          <w:sz w:val="20"/>
          <w:szCs w:val="20"/>
        </w:rPr>
      </w:pPr>
      <w:r w:rsidRPr="005904BC">
        <w:rPr>
          <w:sz w:val="20"/>
          <w:szCs w:val="20"/>
        </w:rPr>
        <w:t xml:space="preserve">(4) İkinci fıkrada belirtilen süre içinde halka arz standart formunu ve formda belirtilen belgeleri tamamlayarak Kurula başvurmayan veya gerekli şartları sağlamadığı için başvurusu Kurulca onaylanmayan ortaklıkların, gayrimenkul yatırım ortaklığı olarak faaliyette bulunma hakları ortadan kalkar. Ortaklıklar, ilgili sürenin bitiminden veya Kurulun olumsuz görüşünün kendilerine bildirildiği tarihten itibaren en geç üç ay içinde esas </w:t>
      </w:r>
      <w:r w:rsidRPr="005904BC">
        <w:rPr>
          <w:sz w:val="20"/>
          <w:szCs w:val="20"/>
        </w:rPr>
        <w:lastRenderedPageBreak/>
        <w:t>sözleşme hükümlerini gayrimenkul yatırım ortaklığı olarak faaliyette bulunamayacak şekilde değiştirmek üzere Kurula başvurmakla yükümlüdürler. Ortaklıklar bu değişiklikleri yapmadıkları takdirde, </w:t>
      </w:r>
      <w:proofErr w:type="spellStart"/>
      <w:r w:rsidRPr="005904BC">
        <w:rPr>
          <w:sz w:val="20"/>
          <w:szCs w:val="20"/>
        </w:rPr>
        <w:t>TTK’nın</w:t>
      </w:r>
      <w:proofErr w:type="spellEnd"/>
      <w:r w:rsidRPr="005904BC">
        <w:rPr>
          <w:sz w:val="20"/>
          <w:szCs w:val="20"/>
        </w:rPr>
        <w:t> 529 uncu maddesinin birinci fıkrasının (b) ve (c) bentleri hükümleri gereğince sona ermiş sayılır.</w:t>
      </w:r>
    </w:p>
    <w:p w:rsidR="005904BC" w:rsidRPr="005904BC" w:rsidRDefault="005904BC" w:rsidP="005904BC">
      <w:pPr>
        <w:pStyle w:val="NormalWeb"/>
        <w:rPr>
          <w:sz w:val="20"/>
          <w:szCs w:val="20"/>
        </w:rPr>
      </w:pPr>
      <w:r w:rsidRPr="005904BC">
        <w:rPr>
          <w:sz w:val="20"/>
          <w:szCs w:val="20"/>
        </w:rPr>
        <w:t xml:space="preserve">(5) Belirli bir altyapı şirketine veya projesine, işletme döneminden önce yatırım yapılması ve/veya işletme dönemine geçilmiş altyapı şirket ve projelerinin, ortaklık aktif toplamının %60’ından az olması halinde ortaklık </w:t>
      </w:r>
      <w:proofErr w:type="spellStart"/>
      <w:r w:rsidRPr="005904BC">
        <w:rPr>
          <w:sz w:val="20"/>
          <w:szCs w:val="20"/>
        </w:rPr>
        <w:t>paylarısadece</w:t>
      </w:r>
      <w:proofErr w:type="spellEnd"/>
      <w:r w:rsidRPr="005904BC">
        <w:rPr>
          <w:sz w:val="20"/>
          <w:szCs w:val="20"/>
        </w:rPr>
        <w:t xml:space="preserve"> nitelikli yatırımcılara satılabilir. Bu hususa ortaklık esas sözleşmesinde yer verilmesi zorunludur. Bu durumda, </w:t>
      </w:r>
      <w:proofErr w:type="spellStart"/>
      <w:r w:rsidRPr="005904BC">
        <w:rPr>
          <w:sz w:val="20"/>
          <w:szCs w:val="20"/>
        </w:rPr>
        <w:t>satışsonrasındaki</w:t>
      </w:r>
      <w:proofErr w:type="spellEnd"/>
      <w:r w:rsidRPr="005904BC">
        <w:rPr>
          <w:sz w:val="20"/>
          <w:szCs w:val="20"/>
        </w:rPr>
        <w:t xml:space="preserve"> dönemde de bu paylar sadece nitelikli yatırımcılara satılabilir ya da devredilebilir. Bu ortaklıkların paylarının halka arz edilmesi ancak bu fıkrada belirtilen koşulların ortadan kalkması halinde mümkündür.</w:t>
      </w:r>
    </w:p>
    <w:p w:rsidR="005904BC" w:rsidRPr="005904BC" w:rsidRDefault="005904BC" w:rsidP="005904BC">
      <w:pPr>
        <w:pStyle w:val="NormalWeb"/>
        <w:rPr>
          <w:sz w:val="20"/>
          <w:szCs w:val="20"/>
        </w:rPr>
      </w:pPr>
      <w:r w:rsidRPr="005904BC">
        <w:rPr>
          <w:sz w:val="20"/>
          <w:szCs w:val="20"/>
        </w:rPr>
        <w:t>(6) Münhasıran altyapı yatırım ve hizmetlerinden oluşan </w:t>
      </w:r>
      <w:proofErr w:type="gramStart"/>
      <w:r w:rsidRPr="005904BC">
        <w:rPr>
          <w:sz w:val="20"/>
          <w:szCs w:val="20"/>
        </w:rPr>
        <w:t>portföyü</w:t>
      </w:r>
      <w:proofErr w:type="gramEnd"/>
      <w:r w:rsidRPr="005904BC">
        <w:rPr>
          <w:sz w:val="20"/>
          <w:szCs w:val="20"/>
        </w:rPr>
        <w:t> işletecek ortaklıkların esas sözleşmelerinde hüküm bulunmak kaydıyla paylarını sadece nitelikli yatırımcılara satmaları da mümkündür. Paylarını sadece nitelikli yatırımcılara satan ortaklıklara aşağıdaki esaslar uygulanır:</w:t>
      </w:r>
    </w:p>
    <w:p w:rsidR="005904BC" w:rsidRPr="005904BC" w:rsidRDefault="005904BC" w:rsidP="005904BC">
      <w:pPr>
        <w:pStyle w:val="NormalWeb"/>
        <w:rPr>
          <w:sz w:val="20"/>
          <w:szCs w:val="20"/>
        </w:rPr>
      </w:pPr>
      <w:r w:rsidRPr="005904BC">
        <w:rPr>
          <w:sz w:val="20"/>
          <w:szCs w:val="20"/>
        </w:rPr>
        <w:t>a) Ortaklıkların ikinci fıkrada belirtilen süre içinde, satış sonrası sermayesinin %25’ine tekabül edecek tutardaki paylarının nitelikli yatırımcıya satışına ilişkin ihraç belgesinin onaylanması talebiyle Kurula başvurmaları zorunludur. İkinci fıkrada belirtilen süre içinde nitelikli yatırımcıya satışa ilişkin standart formu ve formda belirtilen belgeleri hazırlayarak Kurula başvurmayan veya gerekli şartları sağlamadığı için başvurusu Kurulca onaylanmayan ortaklıkların, gayrimenkul yatırım ortaklığı olarak faaliyette bulunma hakları ortadan kalkar. Ortaklıklar, ilgili sürenin bitiminden veya Kurulun olumsuz görüşünün kendilerine bildirildiği tarihten itibaren en geç üç ay içinde esas sözleşme hükümlerini gayrimenkul yatırım ortaklığı faaliyetini kapsamayacak şekilde değiştirmek üzere Kurula başvurmakla yükümlüdürler. Ortaklıklar bu değişiklikleri yapmadığı takdirde, </w:t>
      </w:r>
      <w:proofErr w:type="spellStart"/>
      <w:r w:rsidRPr="005904BC">
        <w:rPr>
          <w:sz w:val="20"/>
          <w:szCs w:val="20"/>
        </w:rPr>
        <w:t>TTK’nın</w:t>
      </w:r>
      <w:proofErr w:type="spellEnd"/>
      <w:r w:rsidRPr="005904BC">
        <w:rPr>
          <w:sz w:val="20"/>
          <w:szCs w:val="20"/>
        </w:rPr>
        <w:t> 529 uncu maddesinin birinci fıkrasının (b) ve (c) bentleri hükümleri gereğince sona ermiş sayılır.</w:t>
      </w:r>
    </w:p>
    <w:p w:rsidR="005904BC" w:rsidRPr="005904BC" w:rsidRDefault="005904BC" w:rsidP="005904BC">
      <w:pPr>
        <w:pStyle w:val="NormalWeb"/>
        <w:rPr>
          <w:sz w:val="20"/>
          <w:szCs w:val="20"/>
        </w:rPr>
      </w:pPr>
      <w:r w:rsidRPr="005904BC">
        <w:rPr>
          <w:sz w:val="20"/>
          <w:szCs w:val="20"/>
        </w:rPr>
        <w:t>b) Mevcut ortaklar arasındaki pay devirleri bu madde kapsamında nitelikli yatırımcıya satış olarak değerlendirilmez.</w:t>
      </w:r>
    </w:p>
    <w:p w:rsidR="005904BC" w:rsidRPr="005904BC" w:rsidRDefault="005904BC" w:rsidP="005904BC">
      <w:pPr>
        <w:pStyle w:val="NormalWeb"/>
        <w:rPr>
          <w:sz w:val="20"/>
          <w:szCs w:val="20"/>
        </w:rPr>
      </w:pPr>
      <w:r w:rsidRPr="005904BC">
        <w:rPr>
          <w:sz w:val="20"/>
          <w:szCs w:val="20"/>
        </w:rPr>
        <w:t>c) Ortaklıklar, satış yapılan yatırımcıların bu Tebliğde belirlenen nitelikli yatırımcı vasıflarını haiz olduklarına dair bilgi ve belgeleri temin etmek ve düzenli olarak tutmakla yükümlüdürler.</w:t>
      </w:r>
    </w:p>
    <w:p w:rsidR="005904BC" w:rsidRPr="005904BC" w:rsidRDefault="005904BC" w:rsidP="005904BC">
      <w:pPr>
        <w:pStyle w:val="NormalWeb"/>
        <w:rPr>
          <w:sz w:val="20"/>
          <w:szCs w:val="20"/>
        </w:rPr>
      </w:pPr>
      <w:r w:rsidRPr="005904BC">
        <w:rPr>
          <w:sz w:val="20"/>
          <w:szCs w:val="20"/>
        </w:rPr>
        <w:t>ç) Ortaklık paylarının </w:t>
      </w:r>
      <w:proofErr w:type="spellStart"/>
      <w:r w:rsidRPr="005904BC">
        <w:rPr>
          <w:sz w:val="20"/>
          <w:szCs w:val="20"/>
        </w:rPr>
        <w:t>kaydi</w:t>
      </w:r>
      <w:proofErr w:type="spellEnd"/>
      <w:r w:rsidRPr="005904BC">
        <w:rPr>
          <w:sz w:val="20"/>
          <w:szCs w:val="20"/>
        </w:rPr>
        <w:t> olarak Merkezi Kayıt Kuruluşu A.Ş. nezdinde izlenmesi ve payların tamamının nama yazılı olması şarttır. Söz konusu paylar, nitelikli yatırımcılara satıştan sonraki dönemde de sadece nitelikli yatırımcılara devredilebilir. Ortaklıklar, devralan yatırımcıların nitelikli yatırımcı vasıflarını haiz olduklarına dair bilgi ve belgeleri temin etmek zorundadırlar. Nitelikli yatırımcı vasıflarını haiz olmayanlara yapılan pay devirleri, pay defterine kaydolunmaz.</w:t>
      </w:r>
    </w:p>
    <w:p w:rsidR="005904BC" w:rsidRPr="005904BC" w:rsidRDefault="005904BC" w:rsidP="005904BC">
      <w:pPr>
        <w:pStyle w:val="NormalWeb"/>
        <w:rPr>
          <w:sz w:val="20"/>
          <w:szCs w:val="20"/>
        </w:rPr>
      </w:pPr>
      <w:r w:rsidRPr="005904BC">
        <w:rPr>
          <w:sz w:val="20"/>
          <w:szCs w:val="20"/>
        </w:rPr>
        <w:t>d) Nitelikli yatırımcıya satıştan önce altyapı yatırım </w:t>
      </w:r>
      <w:proofErr w:type="gramStart"/>
      <w:r w:rsidRPr="005904BC">
        <w:rPr>
          <w:sz w:val="20"/>
          <w:szCs w:val="20"/>
        </w:rPr>
        <w:t>portföyünün</w:t>
      </w:r>
      <w:proofErr w:type="gramEnd"/>
      <w:r w:rsidRPr="005904BC">
        <w:rPr>
          <w:sz w:val="20"/>
          <w:szCs w:val="20"/>
        </w:rPr>
        <w:t xml:space="preserve"> oluşturulmuş olması şartı aranmaz, ancak </w:t>
      </w:r>
      <w:proofErr w:type="spellStart"/>
      <w:r w:rsidRPr="005904BC">
        <w:rPr>
          <w:sz w:val="20"/>
          <w:szCs w:val="20"/>
        </w:rPr>
        <w:t>kuruluşveya</w:t>
      </w:r>
      <w:proofErr w:type="spellEnd"/>
      <w:r w:rsidRPr="005904BC">
        <w:rPr>
          <w:sz w:val="20"/>
          <w:szCs w:val="20"/>
        </w:rPr>
        <w:t xml:space="preserve"> dönüşümü müteakip yapılacak ilk sermaye artırımını veya nitelikli yatırımcıya satışı takip eden birinci yılın sonundan itibaren 24 üncü maddenin birinci fıkrasının (a) bendinde yer alan şartın sağlanması zorunludur.</w:t>
      </w:r>
    </w:p>
    <w:p w:rsidR="005904BC" w:rsidRPr="005904BC" w:rsidRDefault="005904BC" w:rsidP="005904BC">
      <w:pPr>
        <w:pStyle w:val="NormalWeb"/>
        <w:rPr>
          <w:sz w:val="20"/>
          <w:szCs w:val="20"/>
        </w:rPr>
      </w:pPr>
      <w:r w:rsidRPr="005904BC">
        <w:rPr>
          <w:sz w:val="20"/>
          <w:szCs w:val="20"/>
        </w:rPr>
        <w:t>e) Payların nitelikli yatırımcılara satışında, </w:t>
      </w:r>
      <w:proofErr w:type="spellStart"/>
      <w:r w:rsidRPr="005904BC">
        <w:rPr>
          <w:sz w:val="20"/>
          <w:szCs w:val="20"/>
        </w:rPr>
        <w:t>izahname</w:t>
      </w:r>
      <w:proofErr w:type="spellEnd"/>
      <w:r w:rsidRPr="005904BC">
        <w:rPr>
          <w:sz w:val="20"/>
          <w:szCs w:val="20"/>
        </w:rPr>
        <w:t> ve tasarruf sahiplerine satış duyurusu düzenleme zorunluluğu bulunmamaktadır.</w:t>
      </w:r>
    </w:p>
    <w:p w:rsidR="005904BC" w:rsidRPr="005904BC" w:rsidRDefault="005904BC" w:rsidP="005904BC">
      <w:pPr>
        <w:pStyle w:val="NormalWeb"/>
        <w:rPr>
          <w:sz w:val="20"/>
          <w:szCs w:val="20"/>
        </w:rPr>
      </w:pPr>
      <w:r w:rsidRPr="005904BC">
        <w:rPr>
          <w:sz w:val="20"/>
          <w:szCs w:val="20"/>
        </w:rPr>
        <w:t>f) Ara dönem finansal tabloların bağımsız denetimden geçirilmesine, Kurula gönderilmesine ve ilanına gerek bulunmamaktadır.</w:t>
      </w:r>
    </w:p>
    <w:p w:rsidR="005904BC" w:rsidRPr="005904BC" w:rsidRDefault="005904BC" w:rsidP="005904BC">
      <w:pPr>
        <w:pStyle w:val="NormalWeb"/>
        <w:rPr>
          <w:sz w:val="20"/>
          <w:szCs w:val="20"/>
        </w:rPr>
      </w:pPr>
      <w:r w:rsidRPr="005904BC">
        <w:rPr>
          <w:sz w:val="20"/>
          <w:szCs w:val="20"/>
        </w:rPr>
        <w:t>g) Payları borsada işlem görmeyen ortaklıklar tarafından, Tebliğin </w:t>
      </w:r>
      <w:proofErr w:type="spellStart"/>
      <w:r w:rsidRPr="005904BC">
        <w:rPr>
          <w:sz w:val="20"/>
          <w:szCs w:val="20"/>
        </w:rPr>
        <w:t>KAP’ta</w:t>
      </w:r>
      <w:proofErr w:type="spellEnd"/>
      <w:r w:rsidRPr="005904BC">
        <w:rPr>
          <w:sz w:val="20"/>
          <w:szCs w:val="20"/>
        </w:rPr>
        <w:t> ilan yükümlülükleri uygulanmaksızın, 39 uncu ve 40 </w:t>
      </w:r>
      <w:proofErr w:type="spellStart"/>
      <w:r w:rsidRPr="005904BC">
        <w:rPr>
          <w:sz w:val="20"/>
          <w:szCs w:val="20"/>
        </w:rPr>
        <w:t>ıncı</w:t>
      </w:r>
      <w:proofErr w:type="spellEnd"/>
      <w:r w:rsidRPr="005904BC">
        <w:rPr>
          <w:sz w:val="20"/>
          <w:szCs w:val="20"/>
        </w:rPr>
        <w:t xml:space="preserve"> maddelerde belirtilen bildirim yükümlülükleri, aynı sürede Kurula iletilir ve esas sözleşmede </w:t>
      </w:r>
      <w:proofErr w:type="spellStart"/>
      <w:r w:rsidRPr="005904BC">
        <w:rPr>
          <w:sz w:val="20"/>
          <w:szCs w:val="20"/>
        </w:rPr>
        <w:t>belirlenenşekilde</w:t>
      </w:r>
      <w:proofErr w:type="spellEnd"/>
      <w:r w:rsidRPr="005904BC">
        <w:rPr>
          <w:sz w:val="20"/>
          <w:szCs w:val="20"/>
        </w:rPr>
        <w:t xml:space="preserve"> ortakların bilgisine sunulur.</w:t>
      </w:r>
    </w:p>
    <w:p w:rsidR="005904BC" w:rsidRPr="005904BC" w:rsidRDefault="005904BC" w:rsidP="005904BC">
      <w:pPr>
        <w:pStyle w:val="NormalWeb"/>
        <w:rPr>
          <w:sz w:val="20"/>
          <w:szCs w:val="20"/>
        </w:rPr>
      </w:pPr>
      <w:r w:rsidRPr="005904BC">
        <w:rPr>
          <w:sz w:val="20"/>
          <w:szCs w:val="20"/>
        </w:rPr>
        <w:t xml:space="preserve">ğ) Ortaklıklar, yönetim kurulu üyelerini aday gösterme imtiyazı tanıyan paylar dışında imtiyaz veren pay </w:t>
      </w:r>
      <w:proofErr w:type="spellStart"/>
      <w:r w:rsidRPr="005904BC">
        <w:rPr>
          <w:sz w:val="20"/>
          <w:szCs w:val="20"/>
        </w:rPr>
        <w:t>ihraçedemezler</w:t>
      </w:r>
      <w:proofErr w:type="spellEnd"/>
      <w:r w:rsidRPr="005904BC">
        <w:rPr>
          <w:sz w:val="20"/>
          <w:szCs w:val="20"/>
        </w:rPr>
        <w:t>. Esas sözleşmelerinde yer verilmesi ve Kanunun 24 üncü maddesi çerçevesinde ayrılma hakkı tanınması </w:t>
      </w:r>
      <w:proofErr w:type="spellStart"/>
      <w:r w:rsidRPr="005904BC">
        <w:rPr>
          <w:sz w:val="20"/>
          <w:szCs w:val="20"/>
        </w:rPr>
        <w:t>şartlarıile</w:t>
      </w:r>
      <w:proofErr w:type="spellEnd"/>
      <w:r w:rsidRPr="005904BC">
        <w:rPr>
          <w:sz w:val="20"/>
          <w:szCs w:val="20"/>
        </w:rPr>
        <w:t xml:space="preserve"> ortaklıklar nitelikli yatırımcıya satış sonrasında imtiyazlı pay ihraç edebilirler.</w:t>
      </w:r>
    </w:p>
    <w:p w:rsidR="005904BC" w:rsidRPr="005904BC" w:rsidRDefault="005904BC" w:rsidP="005904BC">
      <w:pPr>
        <w:pStyle w:val="NormalWeb"/>
        <w:rPr>
          <w:sz w:val="20"/>
          <w:szCs w:val="20"/>
        </w:rPr>
      </w:pPr>
      <w:r w:rsidRPr="005904BC">
        <w:rPr>
          <w:sz w:val="20"/>
          <w:szCs w:val="20"/>
        </w:rPr>
        <w:t>h) Tanıtım amaçlı reklam ve ilan verilemez.</w:t>
      </w:r>
    </w:p>
    <w:p w:rsidR="005904BC" w:rsidRPr="005904BC" w:rsidRDefault="005904BC" w:rsidP="005904BC">
      <w:pPr>
        <w:pStyle w:val="NormalWeb"/>
        <w:rPr>
          <w:sz w:val="20"/>
          <w:szCs w:val="20"/>
        </w:rPr>
      </w:pPr>
      <w:r w:rsidRPr="005904BC">
        <w:rPr>
          <w:sz w:val="20"/>
          <w:szCs w:val="20"/>
        </w:rPr>
        <w:lastRenderedPageBreak/>
        <w:t>ı) 25 inci maddenin üçüncü fıkrası uygulanmaz.</w:t>
      </w:r>
    </w:p>
    <w:p w:rsidR="005904BC" w:rsidRPr="005904BC" w:rsidRDefault="005904BC" w:rsidP="005904BC">
      <w:pPr>
        <w:pStyle w:val="NormalWeb"/>
        <w:rPr>
          <w:sz w:val="20"/>
          <w:szCs w:val="20"/>
        </w:rPr>
      </w:pPr>
      <w:r w:rsidRPr="005904BC">
        <w:rPr>
          <w:sz w:val="20"/>
          <w:szCs w:val="20"/>
        </w:rPr>
        <w:t>i) 41 inci madde uygulanmaz.</w:t>
      </w:r>
    </w:p>
    <w:p w:rsidR="005904BC" w:rsidRPr="005904BC" w:rsidRDefault="005904BC" w:rsidP="005904BC">
      <w:pPr>
        <w:pStyle w:val="NormalWeb"/>
        <w:rPr>
          <w:sz w:val="20"/>
          <w:szCs w:val="20"/>
        </w:rPr>
      </w:pPr>
      <w:r w:rsidRPr="005904BC">
        <w:rPr>
          <w:sz w:val="20"/>
          <w:szCs w:val="20"/>
        </w:rPr>
        <w:t>j) Gayrimenkul yatırım ortaklığı statüsünden çıkmak isteyen payları borsada işlem görmeyen ortaklıklar için Kanunun 24 üncü maddesinin dördüncü fıkrası uygulanır.</w:t>
      </w:r>
    </w:p>
    <w:p w:rsidR="005904BC" w:rsidRPr="005904BC" w:rsidRDefault="005904BC" w:rsidP="005904BC">
      <w:pPr>
        <w:pStyle w:val="NormalWeb"/>
        <w:rPr>
          <w:sz w:val="20"/>
          <w:szCs w:val="20"/>
        </w:rPr>
      </w:pPr>
      <w:r w:rsidRPr="005904BC">
        <w:rPr>
          <w:sz w:val="20"/>
          <w:szCs w:val="20"/>
        </w:rPr>
        <w:t>k) Payların nitelikli yatırımcıya satışında bu Tebliğde hüküm bulunmayan hallerde </w:t>
      </w:r>
      <w:proofErr w:type="gramStart"/>
      <w:r w:rsidRPr="005904BC">
        <w:rPr>
          <w:sz w:val="20"/>
          <w:szCs w:val="20"/>
        </w:rPr>
        <w:t>28/6/2013</w:t>
      </w:r>
      <w:proofErr w:type="gramEnd"/>
      <w:r w:rsidRPr="005904BC">
        <w:rPr>
          <w:sz w:val="20"/>
          <w:szCs w:val="20"/>
        </w:rPr>
        <w:t xml:space="preserve"> tarihli 28691 </w:t>
      </w:r>
      <w:proofErr w:type="spellStart"/>
      <w:r w:rsidRPr="005904BC">
        <w:rPr>
          <w:sz w:val="20"/>
          <w:szCs w:val="20"/>
        </w:rPr>
        <w:t>sayılıResmî</w:t>
      </w:r>
      <w:proofErr w:type="spellEnd"/>
      <w:r w:rsidRPr="005904BC">
        <w:rPr>
          <w:sz w:val="20"/>
          <w:szCs w:val="20"/>
        </w:rPr>
        <w:t> Gazete’de yayımlanan Sermaye Piyasası Araçlarının Satışı Tebliği (II-5.2)’</w:t>
      </w:r>
      <w:proofErr w:type="spellStart"/>
      <w:r w:rsidRPr="005904BC">
        <w:rPr>
          <w:sz w:val="20"/>
          <w:szCs w:val="20"/>
        </w:rPr>
        <w:t>nde</w:t>
      </w:r>
      <w:proofErr w:type="spellEnd"/>
      <w:r w:rsidRPr="005904BC">
        <w:rPr>
          <w:sz w:val="20"/>
          <w:szCs w:val="20"/>
        </w:rPr>
        <w:t> düzenlenen nitelikli yatırımcıya satışa ilişkin hükümler kıyasen uygulanır.</w:t>
      </w:r>
    </w:p>
    <w:p w:rsidR="005904BC" w:rsidRPr="005904BC" w:rsidRDefault="005904BC" w:rsidP="005904BC">
      <w:pPr>
        <w:pStyle w:val="NormalWeb"/>
        <w:rPr>
          <w:sz w:val="20"/>
          <w:szCs w:val="20"/>
        </w:rPr>
      </w:pPr>
      <w:r w:rsidRPr="005904BC">
        <w:rPr>
          <w:sz w:val="20"/>
          <w:szCs w:val="20"/>
        </w:rPr>
        <w:t>(7) Paylarının halka arzından veya nitelikli yatırımcıya satışından önce sermaye artırımı yapılabilir.</w:t>
      </w:r>
    </w:p>
    <w:p w:rsidR="005904BC" w:rsidRPr="005904BC" w:rsidRDefault="005904BC" w:rsidP="005904BC">
      <w:pPr>
        <w:pStyle w:val="NormalWeb"/>
        <w:rPr>
          <w:sz w:val="20"/>
          <w:szCs w:val="20"/>
        </w:rPr>
      </w:pPr>
      <w:r w:rsidRPr="005904BC">
        <w:rPr>
          <w:sz w:val="20"/>
          <w:szCs w:val="20"/>
        </w:rPr>
        <w:t xml:space="preserve">(8) Bu maddede hüküm bulunmayan hallerde bu Tebliğin diğer hükümleri uygulanır.” </w:t>
      </w:r>
    </w:p>
    <w:p w:rsidR="005904BC" w:rsidRPr="005904BC" w:rsidRDefault="005904BC" w:rsidP="005904BC">
      <w:pPr>
        <w:pStyle w:val="NormalWeb"/>
        <w:rPr>
          <w:sz w:val="20"/>
          <w:szCs w:val="20"/>
        </w:rPr>
      </w:pPr>
      <w:r w:rsidRPr="005904BC">
        <w:rPr>
          <w:rStyle w:val="Gl"/>
          <w:sz w:val="20"/>
          <w:szCs w:val="20"/>
        </w:rPr>
        <w:t>MADDE 12 –</w:t>
      </w:r>
      <w:r w:rsidRPr="005904BC">
        <w:rPr>
          <w:sz w:val="20"/>
          <w:szCs w:val="20"/>
        </w:rPr>
        <w:t> Aynı Tebliğin 12 </w:t>
      </w:r>
      <w:proofErr w:type="spellStart"/>
      <w:r w:rsidRPr="005904BC">
        <w:rPr>
          <w:sz w:val="20"/>
          <w:szCs w:val="20"/>
        </w:rPr>
        <w:t>nci</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12 –</w:t>
      </w:r>
      <w:r w:rsidRPr="005904BC">
        <w:rPr>
          <w:sz w:val="20"/>
          <w:szCs w:val="20"/>
        </w:rPr>
        <w:t> (1) Paylarını halka arz eden ortaklıklar, satış süresinin bitimini takip eden 15 gün içinde paylarının BİAŞ kotuna alınması için gerekli belgenin verilmesi istemiyle Kurula başvururlar. Bu belgenin alınmasını takiben 15 gün içinde de payların </w:t>
      </w:r>
      <w:proofErr w:type="spellStart"/>
      <w:r w:rsidRPr="005904BC">
        <w:rPr>
          <w:sz w:val="20"/>
          <w:szCs w:val="20"/>
        </w:rPr>
        <w:t>kote</w:t>
      </w:r>
      <w:proofErr w:type="spellEnd"/>
      <w:r w:rsidRPr="005904BC">
        <w:rPr>
          <w:sz w:val="20"/>
          <w:szCs w:val="20"/>
        </w:rPr>
        <w:t> edilmesi isteği ile </w:t>
      </w:r>
      <w:proofErr w:type="spellStart"/>
      <w:r w:rsidRPr="005904BC">
        <w:rPr>
          <w:sz w:val="20"/>
          <w:szCs w:val="20"/>
        </w:rPr>
        <w:t>BİAŞ’a</w:t>
      </w:r>
      <w:proofErr w:type="spellEnd"/>
      <w:r w:rsidRPr="005904BC">
        <w:rPr>
          <w:sz w:val="20"/>
          <w:szCs w:val="20"/>
        </w:rPr>
        <w:t xml:space="preserve"> müracaat edilmesi zorunludur.” </w:t>
      </w:r>
    </w:p>
    <w:p w:rsidR="005904BC" w:rsidRPr="005904BC" w:rsidRDefault="005904BC" w:rsidP="005904BC">
      <w:pPr>
        <w:pStyle w:val="NormalWeb"/>
        <w:rPr>
          <w:sz w:val="20"/>
          <w:szCs w:val="20"/>
        </w:rPr>
      </w:pPr>
      <w:r w:rsidRPr="005904BC">
        <w:rPr>
          <w:rStyle w:val="Gl"/>
          <w:sz w:val="20"/>
          <w:szCs w:val="20"/>
        </w:rPr>
        <w:t>MADDE 13 –</w:t>
      </w:r>
      <w:r w:rsidRPr="005904BC">
        <w:rPr>
          <w:sz w:val="20"/>
          <w:szCs w:val="20"/>
        </w:rPr>
        <w:t> Aynı Tebliğin 14 üncü maddesi aşağıdaki şekilde değiştirilmiştir.</w:t>
      </w:r>
    </w:p>
    <w:p w:rsidR="005904BC" w:rsidRPr="005904BC" w:rsidRDefault="005904BC" w:rsidP="005904BC">
      <w:pPr>
        <w:pStyle w:val="NormalWeb"/>
        <w:rPr>
          <w:sz w:val="20"/>
          <w:szCs w:val="20"/>
        </w:rPr>
      </w:pPr>
      <w:r w:rsidRPr="005904BC">
        <w:rPr>
          <w:rStyle w:val="Gl"/>
          <w:sz w:val="20"/>
          <w:szCs w:val="20"/>
        </w:rPr>
        <w:t>“MADDE 14 –</w:t>
      </w:r>
      <w:r w:rsidRPr="005904BC">
        <w:rPr>
          <w:sz w:val="20"/>
          <w:szCs w:val="20"/>
        </w:rPr>
        <w:t> (1) Ortaklıklar, yönetim kurulu üyelerinin seçiminde aday gösterme imtiyazı tanıyan paylar dışında imtiyaz veren herhangi bir menkul kıymet ihraç edemezler. Aday gösterme imtiyazının yaratılmasında </w:t>
      </w:r>
      <w:proofErr w:type="spellStart"/>
      <w:r w:rsidRPr="005904BC">
        <w:rPr>
          <w:sz w:val="20"/>
          <w:szCs w:val="20"/>
        </w:rPr>
        <w:t>TTK’nın</w:t>
      </w:r>
      <w:proofErr w:type="spellEnd"/>
      <w:r w:rsidRPr="005904BC">
        <w:rPr>
          <w:sz w:val="20"/>
          <w:szCs w:val="20"/>
        </w:rPr>
        <w:t> 360ıncı maddesi hükümleri uygulanmaz. Halka açılma sonrasında, hiçbir şekilde yönetim kurulu üyeliğine aday gösterme imtiyazı da </w:t>
      </w:r>
      <w:proofErr w:type="gramStart"/>
      <w:r w:rsidRPr="005904BC">
        <w:rPr>
          <w:sz w:val="20"/>
          <w:szCs w:val="20"/>
        </w:rPr>
        <w:t>dahil</w:t>
      </w:r>
      <w:proofErr w:type="gramEnd"/>
      <w:r w:rsidRPr="005904BC">
        <w:rPr>
          <w:sz w:val="20"/>
          <w:szCs w:val="20"/>
        </w:rPr>
        <w:t> olmak üzere imtiyaz yaratılamaz.</w:t>
      </w:r>
    </w:p>
    <w:p w:rsidR="005904BC" w:rsidRPr="005904BC" w:rsidRDefault="005904BC" w:rsidP="005904BC">
      <w:pPr>
        <w:pStyle w:val="NormalWeb"/>
        <w:rPr>
          <w:sz w:val="20"/>
          <w:szCs w:val="20"/>
        </w:rPr>
      </w:pPr>
      <w:r w:rsidRPr="005904BC">
        <w:rPr>
          <w:sz w:val="20"/>
          <w:szCs w:val="20"/>
        </w:rPr>
        <w:t>(2) Bu Tebliğin yayımı tarihinden önce oyda imtiyaz veren pay ihraç etmiş olan ortaklıklar için </w:t>
      </w:r>
      <w:proofErr w:type="spellStart"/>
      <w:r w:rsidRPr="005904BC">
        <w:rPr>
          <w:sz w:val="20"/>
          <w:szCs w:val="20"/>
        </w:rPr>
        <w:t>TTK’nın</w:t>
      </w:r>
      <w:proofErr w:type="spellEnd"/>
      <w:r w:rsidRPr="005904BC">
        <w:rPr>
          <w:sz w:val="20"/>
          <w:szCs w:val="20"/>
        </w:rPr>
        <w:t> 479 uncu maddesinin ikinci fıkrası hükmü uygulanmaz.</w:t>
      </w:r>
    </w:p>
    <w:p w:rsidR="005904BC" w:rsidRPr="005904BC" w:rsidRDefault="005904BC" w:rsidP="005904BC">
      <w:pPr>
        <w:pStyle w:val="NormalWeb"/>
        <w:rPr>
          <w:sz w:val="20"/>
          <w:szCs w:val="20"/>
        </w:rPr>
      </w:pPr>
      <w:r w:rsidRPr="005904BC">
        <w:rPr>
          <w:sz w:val="20"/>
          <w:szCs w:val="20"/>
        </w:rPr>
        <w:t xml:space="preserve">(3) Kurulun belirlediği esaslar çerçevesinde, faaliyetlerinin makul ve zorunlu kıldığı haller saklı kalmak kaydıyla, Kurul düzenlemelerine uygun olarak hazırlanmış finansal tablolarına göre üst üste beş yıl dönem zararı eden halka açık ortaklıklarda, birinci fıkra kapsamındaki imtiyazlı paylar Kurul kararı ile ortadan kalkar. Bu hükmün </w:t>
      </w:r>
      <w:proofErr w:type="gramStart"/>
      <w:r w:rsidRPr="005904BC">
        <w:rPr>
          <w:sz w:val="20"/>
          <w:szCs w:val="20"/>
        </w:rPr>
        <w:t>uygulanmasında,konsolide</w:t>
      </w:r>
      <w:proofErr w:type="gramEnd"/>
      <w:r w:rsidRPr="005904BC">
        <w:rPr>
          <w:sz w:val="20"/>
          <w:szCs w:val="20"/>
        </w:rPr>
        <w:t xml:space="preserve"> finansal tablo hazırlama yükümlülüğü bulunan halka açık ortaklıklar için konsolide finansal tablolar esas alınır.İmtiyazlı payların kamu kurum ve kuruluşlarına ait olması halinde bu fıkra hükmü uygulanmaz.” </w:t>
      </w:r>
    </w:p>
    <w:p w:rsidR="005904BC" w:rsidRPr="005904BC" w:rsidRDefault="005904BC" w:rsidP="005904BC">
      <w:pPr>
        <w:pStyle w:val="NormalWeb"/>
        <w:rPr>
          <w:sz w:val="20"/>
          <w:szCs w:val="20"/>
        </w:rPr>
      </w:pPr>
      <w:r w:rsidRPr="005904BC">
        <w:rPr>
          <w:rStyle w:val="Gl"/>
          <w:sz w:val="20"/>
          <w:szCs w:val="20"/>
        </w:rPr>
        <w:t>MADDE 14 – </w:t>
      </w:r>
      <w:r w:rsidRPr="005904BC">
        <w:rPr>
          <w:sz w:val="20"/>
          <w:szCs w:val="20"/>
        </w:rPr>
        <w:t>Aynı Tebliğin 15 inci maddesi aşağıdaki şekilde değiştirilmiştir.</w:t>
      </w:r>
    </w:p>
    <w:p w:rsidR="005904BC" w:rsidRPr="005904BC" w:rsidRDefault="005904BC" w:rsidP="005904BC">
      <w:pPr>
        <w:pStyle w:val="NormalWeb"/>
        <w:rPr>
          <w:sz w:val="20"/>
          <w:szCs w:val="20"/>
        </w:rPr>
      </w:pPr>
      <w:r w:rsidRPr="005904BC">
        <w:rPr>
          <w:rStyle w:val="Gl"/>
          <w:sz w:val="20"/>
          <w:szCs w:val="20"/>
        </w:rPr>
        <w:t>“MADDE 15 –</w:t>
      </w:r>
      <w:r w:rsidRPr="005904BC">
        <w:rPr>
          <w:sz w:val="20"/>
          <w:szCs w:val="20"/>
        </w:rPr>
        <w:t> (1) Payların halka arzından veya nitelikli yatırımcıya satışından önce ortaklık sermayesinin %10 ve daha fazlasını temsil eden payların devirleri ile herhangi bir orana bakılmaksızın imtiyazlı payların devirleri Kurul iznine tabidir. Bu kapsamdaki pay devirlerinde, ortaklıkta pay edinecek yeni ortaklar için 7 </w:t>
      </w:r>
      <w:proofErr w:type="spellStart"/>
      <w:r w:rsidRPr="005904BC">
        <w:rPr>
          <w:sz w:val="20"/>
          <w:szCs w:val="20"/>
        </w:rPr>
        <w:t>nci</w:t>
      </w:r>
      <w:proofErr w:type="spellEnd"/>
      <w:r w:rsidRPr="005904BC">
        <w:rPr>
          <w:sz w:val="20"/>
          <w:szCs w:val="20"/>
        </w:rPr>
        <w:t> maddenin birinci fıkrasının (e) bendi dışındaki bentlerinde yer alan şartlar aranır. %10’dan daha az orandaki pay edinimlerinde ortaklıkta pay edinecek yeni ortaklar, 7 </w:t>
      </w:r>
      <w:proofErr w:type="spellStart"/>
      <w:r w:rsidRPr="005904BC">
        <w:rPr>
          <w:sz w:val="20"/>
          <w:szCs w:val="20"/>
        </w:rPr>
        <w:t>nci</w:t>
      </w:r>
      <w:proofErr w:type="spellEnd"/>
      <w:r w:rsidRPr="005904BC">
        <w:rPr>
          <w:sz w:val="20"/>
          <w:szCs w:val="20"/>
        </w:rPr>
        <w:t> maddenin birinci fıkrasının (e) bendi dışındaki bentlerinde yer alan şartları taşıdıklarını tevsik edici belgeleri pay devrini takip eden 10 iş günü içinde Kurula iletmekle yükümlüdürler.</w:t>
      </w:r>
    </w:p>
    <w:p w:rsidR="005904BC" w:rsidRPr="005904BC" w:rsidRDefault="005904BC" w:rsidP="005904BC">
      <w:pPr>
        <w:pStyle w:val="NormalWeb"/>
        <w:rPr>
          <w:sz w:val="20"/>
          <w:szCs w:val="20"/>
        </w:rPr>
      </w:pPr>
      <w:r w:rsidRPr="005904BC">
        <w:rPr>
          <w:sz w:val="20"/>
          <w:szCs w:val="20"/>
        </w:rPr>
        <w:t xml:space="preserve">(2) Ortaklık paylarının halka arzından veya nitelikli yatırımcıya satışından sonraki dönemde, yönetim </w:t>
      </w:r>
      <w:proofErr w:type="spellStart"/>
      <w:r w:rsidRPr="005904BC">
        <w:rPr>
          <w:sz w:val="20"/>
          <w:szCs w:val="20"/>
        </w:rPr>
        <w:t>kontrolüsağlayan</w:t>
      </w:r>
      <w:proofErr w:type="spellEnd"/>
      <w:r w:rsidRPr="005904BC">
        <w:rPr>
          <w:sz w:val="20"/>
          <w:szCs w:val="20"/>
        </w:rPr>
        <w:t xml:space="preserve"> paylara sahip olan ortakların 7 </w:t>
      </w:r>
      <w:proofErr w:type="spellStart"/>
      <w:r w:rsidRPr="005904BC">
        <w:rPr>
          <w:sz w:val="20"/>
          <w:szCs w:val="20"/>
        </w:rPr>
        <w:t>nci</w:t>
      </w:r>
      <w:proofErr w:type="spellEnd"/>
      <w:r w:rsidRPr="005904BC">
        <w:rPr>
          <w:sz w:val="20"/>
          <w:szCs w:val="20"/>
        </w:rPr>
        <w:t> maddenin birinci fıkrasının (e) bendi dışındaki bentlerinde yer alan </w:t>
      </w:r>
      <w:proofErr w:type="spellStart"/>
      <w:r w:rsidRPr="005904BC">
        <w:rPr>
          <w:sz w:val="20"/>
          <w:szCs w:val="20"/>
        </w:rPr>
        <w:t>şartlarısağlamaları</w:t>
      </w:r>
      <w:proofErr w:type="spellEnd"/>
      <w:r w:rsidRPr="005904BC">
        <w:rPr>
          <w:sz w:val="20"/>
          <w:szCs w:val="20"/>
        </w:rPr>
        <w:t xml:space="preserve"> zorunludur. Yönetim kontrolünün elde edilmesini sağlayan miktardaki imtiyazlı payların devri Kurul iznine tabidir. İmtiyazsız paylarla yönetim kontrolünün elde edilmesi halinde ise, bu paylara sahip olan ortakların söz </w:t>
      </w:r>
      <w:proofErr w:type="spellStart"/>
      <w:r w:rsidRPr="005904BC">
        <w:rPr>
          <w:sz w:val="20"/>
          <w:szCs w:val="20"/>
        </w:rPr>
        <w:t>konusuşartları</w:t>
      </w:r>
      <w:proofErr w:type="spellEnd"/>
      <w:r w:rsidRPr="005904BC">
        <w:rPr>
          <w:sz w:val="20"/>
          <w:szCs w:val="20"/>
        </w:rPr>
        <w:t> sağladıklarını tevsik edici belgeleri pay edinimini takip eden 10 iş günü içinde Kurula iletmeleri zorunludur. Yönetim kontrolü sağlayan paylara sahip olan ortakların, söz konusu şartları sağlayamamaları halinde; yönetim kontrolü sağlayan paylarını, şartları sağlayamadıkları tarihten itibaren en geç üç ay içerisinde elden çıkarmaları zorunludur.</w:t>
      </w:r>
    </w:p>
    <w:p w:rsidR="005904BC" w:rsidRPr="005904BC" w:rsidRDefault="005904BC" w:rsidP="005904BC">
      <w:pPr>
        <w:pStyle w:val="NormalWeb"/>
        <w:rPr>
          <w:sz w:val="20"/>
          <w:szCs w:val="20"/>
        </w:rPr>
      </w:pPr>
      <w:r w:rsidRPr="005904BC">
        <w:rPr>
          <w:sz w:val="20"/>
          <w:szCs w:val="20"/>
        </w:rPr>
        <w:lastRenderedPageBreak/>
        <w:t>(3) Yönetim kontrolünün elde edilmesini sağlayan miktardaki imtiyazlı payların devrinde, imtiyazlı </w:t>
      </w:r>
      <w:proofErr w:type="spellStart"/>
      <w:r w:rsidRPr="005904BC">
        <w:rPr>
          <w:sz w:val="20"/>
          <w:szCs w:val="20"/>
        </w:rPr>
        <w:t>paylarıdevralacak</w:t>
      </w:r>
      <w:proofErr w:type="spellEnd"/>
      <w:r w:rsidRPr="005904BC">
        <w:rPr>
          <w:sz w:val="20"/>
          <w:szCs w:val="20"/>
        </w:rPr>
        <w:t xml:space="preserve"> ortakların, Kurulun pay alım teklifi zorunluluğuna ilişkin hükümleri kapsamında devir sonrası diğer ortakların paylarını satın almayı sağlayacak mali güce sahip olmaları ve bu durumu tevsik etmeleri zorunludur. Şu kadar ki, Kurulun pay alım teklifi zorunluluğundan muafiyete ilişkin hükümleri saklıdır.</w:t>
      </w:r>
    </w:p>
    <w:p w:rsidR="005904BC" w:rsidRPr="005904BC" w:rsidRDefault="005904BC" w:rsidP="005904BC">
      <w:pPr>
        <w:pStyle w:val="NormalWeb"/>
        <w:rPr>
          <w:sz w:val="20"/>
          <w:szCs w:val="20"/>
        </w:rPr>
      </w:pPr>
      <w:r w:rsidRPr="005904BC">
        <w:rPr>
          <w:sz w:val="20"/>
          <w:szCs w:val="20"/>
        </w:rPr>
        <w:t>(4) Bankaların bu madde kapsamındaki pay edinimlerinde 7 </w:t>
      </w:r>
      <w:proofErr w:type="spellStart"/>
      <w:r w:rsidRPr="005904BC">
        <w:rPr>
          <w:sz w:val="20"/>
          <w:szCs w:val="20"/>
        </w:rPr>
        <w:t>nci</w:t>
      </w:r>
      <w:proofErr w:type="spellEnd"/>
      <w:r w:rsidRPr="005904BC">
        <w:rPr>
          <w:sz w:val="20"/>
          <w:szCs w:val="20"/>
        </w:rPr>
        <w:t> maddenin beşinci fıkrasında yer alan şartların sağlanması zorunludur.</w:t>
      </w:r>
    </w:p>
    <w:p w:rsidR="005904BC" w:rsidRPr="005904BC" w:rsidRDefault="005904BC" w:rsidP="005904BC">
      <w:pPr>
        <w:pStyle w:val="NormalWeb"/>
        <w:rPr>
          <w:sz w:val="20"/>
          <w:szCs w:val="20"/>
        </w:rPr>
      </w:pPr>
      <w:r w:rsidRPr="005904BC">
        <w:rPr>
          <w:sz w:val="20"/>
          <w:szCs w:val="20"/>
        </w:rPr>
        <w:t xml:space="preserve">(5) Birinci, ikinci ve dördüncü fıkralarda belirtilen esaslara aykırı olarak gerçekleştirilen devirler pay defterine kaydolunmaz. Söz konusu fıkra hükümlerine aykırı olarak pay defterine yapılan kayıtlar hükümsüzdür.” </w:t>
      </w:r>
    </w:p>
    <w:p w:rsidR="005904BC" w:rsidRPr="005904BC" w:rsidRDefault="005904BC" w:rsidP="005904BC">
      <w:pPr>
        <w:pStyle w:val="NormalWeb"/>
        <w:rPr>
          <w:sz w:val="20"/>
          <w:szCs w:val="20"/>
        </w:rPr>
      </w:pPr>
      <w:r w:rsidRPr="005904BC">
        <w:rPr>
          <w:rStyle w:val="Gl"/>
          <w:sz w:val="20"/>
          <w:szCs w:val="20"/>
        </w:rPr>
        <w:t>MADDE 15 – </w:t>
      </w:r>
      <w:r w:rsidRPr="005904BC">
        <w:rPr>
          <w:sz w:val="20"/>
          <w:szCs w:val="20"/>
        </w:rPr>
        <w:t>Aynı Tebliğin 17 </w:t>
      </w:r>
      <w:proofErr w:type="spellStart"/>
      <w:r w:rsidRPr="005904BC">
        <w:rPr>
          <w:sz w:val="20"/>
          <w:szCs w:val="20"/>
        </w:rPr>
        <w:t>nci</w:t>
      </w:r>
      <w:proofErr w:type="spellEnd"/>
      <w:r w:rsidRPr="005904BC">
        <w:rPr>
          <w:sz w:val="20"/>
          <w:szCs w:val="20"/>
        </w:rPr>
        <w:t> maddesinin birinci ve üçüncü fıkraları aşağıdaki şekilde değiştirilmiştir.</w:t>
      </w:r>
    </w:p>
    <w:p w:rsidR="005904BC" w:rsidRPr="005904BC" w:rsidRDefault="005904BC" w:rsidP="005904BC">
      <w:pPr>
        <w:pStyle w:val="NormalWeb"/>
        <w:rPr>
          <w:sz w:val="20"/>
          <w:szCs w:val="20"/>
        </w:rPr>
      </w:pPr>
      <w:r w:rsidRPr="005904BC">
        <w:rPr>
          <w:sz w:val="20"/>
          <w:szCs w:val="20"/>
        </w:rPr>
        <w:t>“(1) Ortaklıklarda görev alacak yönetim kurulu üyelerinin, 7 </w:t>
      </w:r>
      <w:proofErr w:type="spellStart"/>
      <w:r w:rsidRPr="005904BC">
        <w:rPr>
          <w:sz w:val="20"/>
          <w:szCs w:val="20"/>
        </w:rPr>
        <w:t>nci</w:t>
      </w:r>
      <w:proofErr w:type="spellEnd"/>
      <w:r w:rsidRPr="005904BC">
        <w:rPr>
          <w:sz w:val="20"/>
          <w:szCs w:val="20"/>
        </w:rPr>
        <w:t xml:space="preserve"> maddenin birinci fıkrasının (e) bendi dışındaki bentlerinde yer alan şartları taşımaları gerekmektedir. Ayrıca yönetim kurulu üyelerinin çoğunluğunun dört yıllık yükseköğrenim kurumlarından mezun olmaları ve ortaklığın faaliyet konusunu yakından ilgilendiren gayrimenkul, altyapı, hukuk, inşaat, bankacılık ve finans gibi alanlarda en az üç yıllık tecrübeye sahip olmaları zorunludur. Yalnızca gayrimenkul alım satım işi ile uğraşmak bu alanda edinilmiş tecrübe sayılmaz.” </w:t>
      </w:r>
    </w:p>
    <w:p w:rsidR="005904BC" w:rsidRPr="005904BC" w:rsidRDefault="005904BC" w:rsidP="005904BC">
      <w:pPr>
        <w:pStyle w:val="NormalWeb"/>
        <w:rPr>
          <w:sz w:val="20"/>
          <w:szCs w:val="20"/>
        </w:rPr>
      </w:pPr>
      <w:r w:rsidRPr="005904BC">
        <w:rPr>
          <w:sz w:val="20"/>
          <w:szCs w:val="20"/>
        </w:rPr>
        <w:t>“(3) </w:t>
      </w:r>
      <w:proofErr w:type="gramStart"/>
      <w:r w:rsidRPr="005904BC">
        <w:rPr>
          <w:sz w:val="20"/>
          <w:szCs w:val="20"/>
        </w:rPr>
        <w:t>Yönetim kurulu</w:t>
      </w:r>
      <w:proofErr w:type="gramEnd"/>
      <w:r w:rsidRPr="005904BC">
        <w:rPr>
          <w:sz w:val="20"/>
          <w:szCs w:val="20"/>
        </w:rPr>
        <w:t> üyeliği görevine yeni bir atama yapılması halinde atamaya ilişkin karar, atanan kişinin birinci fıkrada yer alan şartları sağladığını tevsik edici belgelerle birlikte atamayı takip eden en geç 10 iş günü içinde </w:t>
      </w:r>
      <w:proofErr w:type="spellStart"/>
      <w:r w:rsidRPr="005904BC">
        <w:rPr>
          <w:sz w:val="20"/>
          <w:szCs w:val="20"/>
        </w:rPr>
        <w:t>SPL’yegönderilir</w:t>
      </w:r>
      <w:proofErr w:type="spellEnd"/>
      <w:r w:rsidRPr="005904BC">
        <w:rPr>
          <w:sz w:val="20"/>
          <w:szCs w:val="20"/>
        </w:rPr>
        <w:t xml:space="preserve">.” </w:t>
      </w:r>
    </w:p>
    <w:p w:rsidR="005904BC" w:rsidRPr="005904BC" w:rsidRDefault="005904BC" w:rsidP="005904BC">
      <w:pPr>
        <w:pStyle w:val="NormalWeb"/>
        <w:rPr>
          <w:sz w:val="20"/>
          <w:szCs w:val="20"/>
        </w:rPr>
      </w:pPr>
      <w:r w:rsidRPr="005904BC">
        <w:rPr>
          <w:rStyle w:val="Gl"/>
          <w:sz w:val="20"/>
          <w:szCs w:val="20"/>
        </w:rPr>
        <w:t>MADDE 16 – </w:t>
      </w:r>
      <w:r w:rsidRPr="005904BC">
        <w:rPr>
          <w:sz w:val="20"/>
          <w:szCs w:val="20"/>
        </w:rPr>
        <w:t>Aynı Tebliğin 18 inci maddesinin birinci, dördüncü ve beşinci fıkraları aşağıdaki şekilde değiştirilmiştir.</w:t>
      </w:r>
    </w:p>
    <w:p w:rsidR="005904BC" w:rsidRPr="005904BC" w:rsidRDefault="005904BC" w:rsidP="005904BC">
      <w:pPr>
        <w:pStyle w:val="NormalWeb"/>
        <w:rPr>
          <w:sz w:val="20"/>
          <w:szCs w:val="20"/>
        </w:rPr>
      </w:pPr>
      <w:r w:rsidRPr="005904BC">
        <w:rPr>
          <w:sz w:val="20"/>
          <w:szCs w:val="20"/>
        </w:rPr>
        <w:t xml:space="preserve">“(1) Ortaklıkta genel müdür olarak görev yapacak kişinin dört yıllık yükseköğrenim kurumlarından mezun olması, 7nci maddenin birinci fıkrasının (e) bendi dışındaki bentlerinde yer alan şartları taşıması ve altyapı, hukuk, inşaat, bankacılık, gayrimenkul ve finans gibi alanlarda en az beş yıllık tecrübeye sahip olması zorunludur. Yalnızca gayrimenkul alım satım işi ile uğraşmak bu alanda edinilmiş tecrübe sayılmaz.” </w:t>
      </w:r>
    </w:p>
    <w:p w:rsidR="005904BC" w:rsidRPr="005904BC" w:rsidRDefault="005904BC" w:rsidP="005904BC">
      <w:pPr>
        <w:pStyle w:val="NormalWeb"/>
        <w:rPr>
          <w:sz w:val="20"/>
          <w:szCs w:val="20"/>
        </w:rPr>
      </w:pPr>
      <w:r w:rsidRPr="005904BC">
        <w:rPr>
          <w:sz w:val="20"/>
          <w:szCs w:val="20"/>
        </w:rPr>
        <w:t>“(4) Genel müdürlük görevine son 12 aylık süre içerisinde altı aydan fazla </w:t>
      </w:r>
      <w:proofErr w:type="gramStart"/>
      <w:r w:rsidRPr="005904BC">
        <w:rPr>
          <w:sz w:val="20"/>
          <w:szCs w:val="20"/>
        </w:rPr>
        <w:t>vekalet</w:t>
      </w:r>
      <w:proofErr w:type="gramEnd"/>
      <w:r w:rsidRPr="005904BC">
        <w:rPr>
          <w:sz w:val="20"/>
          <w:szCs w:val="20"/>
        </w:rPr>
        <w:t> edilemez. Bu sürenin sonunda bu göreve yeniden </w:t>
      </w:r>
      <w:proofErr w:type="gramStart"/>
      <w:r w:rsidRPr="005904BC">
        <w:rPr>
          <w:sz w:val="20"/>
          <w:szCs w:val="20"/>
        </w:rPr>
        <w:t>vekaleten</w:t>
      </w:r>
      <w:proofErr w:type="gramEnd"/>
      <w:r w:rsidRPr="005904BC">
        <w:rPr>
          <w:sz w:val="20"/>
          <w:szCs w:val="20"/>
        </w:rPr>
        <w:t xml:space="preserve"> atama yapılamaz.” </w:t>
      </w:r>
    </w:p>
    <w:p w:rsidR="005904BC" w:rsidRPr="005904BC" w:rsidRDefault="005904BC" w:rsidP="005904BC">
      <w:pPr>
        <w:pStyle w:val="NormalWeb"/>
        <w:rPr>
          <w:sz w:val="20"/>
          <w:szCs w:val="20"/>
        </w:rPr>
      </w:pPr>
      <w:r w:rsidRPr="005904BC">
        <w:rPr>
          <w:sz w:val="20"/>
          <w:szCs w:val="20"/>
        </w:rPr>
        <w:t>“(5) Genel müdürlük görevine yeni bir atama yapılması halinde atamaya ilişkin karar, atanan kişinin birinci fıkrada yer alan şartları sağladığını tevsik edici belgelerle birlikte atamayı takip eden en geç 10 iş günü içinde Kurula ve </w:t>
      </w:r>
      <w:proofErr w:type="spellStart"/>
      <w:r w:rsidRPr="005904BC">
        <w:rPr>
          <w:sz w:val="20"/>
          <w:szCs w:val="20"/>
        </w:rPr>
        <w:t>SPL’yegönderilir</w:t>
      </w:r>
      <w:proofErr w:type="spellEnd"/>
      <w:r w:rsidRPr="005904BC">
        <w:rPr>
          <w:sz w:val="20"/>
          <w:szCs w:val="20"/>
        </w:rPr>
        <w:t xml:space="preserve">.” </w:t>
      </w:r>
    </w:p>
    <w:p w:rsidR="005904BC" w:rsidRPr="005904BC" w:rsidRDefault="005904BC" w:rsidP="005904BC">
      <w:pPr>
        <w:pStyle w:val="NormalWeb"/>
        <w:rPr>
          <w:sz w:val="20"/>
          <w:szCs w:val="20"/>
        </w:rPr>
      </w:pPr>
      <w:r w:rsidRPr="005904BC">
        <w:rPr>
          <w:rStyle w:val="Gl"/>
          <w:sz w:val="20"/>
          <w:szCs w:val="20"/>
        </w:rPr>
        <w:t>MADDE 17 –</w:t>
      </w:r>
      <w:r w:rsidRPr="005904BC">
        <w:rPr>
          <w:sz w:val="20"/>
          <w:szCs w:val="20"/>
        </w:rPr>
        <w:t> Aynı Tebliğin 19 uncu maddesine aşağıdaki ikinci fıkra eklenmiştir.</w:t>
      </w:r>
    </w:p>
    <w:p w:rsidR="005904BC" w:rsidRPr="005904BC" w:rsidRDefault="005904BC" w:rsidP="005904BC">
      <w:pPr>
        <w:pStyle w:val="NormalWeb"/>
        <w:rPr>
          <w:sz w:val="20"/>
          <w:szCs w:val="20"/>
        </w:rPr>
      </w:pPr>
      <w:r w:rsidRPr="005904BC">
        <w:rPr>
          <w:sz w:val="20"/>
          <w:szCs w:val="20"/>
        </w:rPr>
        <w:t>“(2) Bu madde kapsamındaki personelin 7 </w:t>
      </w:r>
      <w:proofErr w:type="spellStart"/>
      <w:r w:rsidRPr="005904BC">
        <w:rPr>
          <w:sz w:val="20"/>
          <w:szCs w:val="20"/>
        </w:rPr>
        <w:t>nci</w:t>
      </w:r>
      <w:proofErr w:type="spellEnd"/>
      <w:r w:rsidRPr="005904BC">
        <w:rPr>
          <w:sz w:val="20"/>
          <w:szCs w:val="20"/>
        </w:rPr>
        <w:t> maddenin birinci fıkrasının (h) bendinde yer alan şartı </w:t>
      </w:r>
      <w:proofErr w:type="spellStart"/>
      <w:r w:rsidRPr="005904BC">
        <w:rPr>
          <w:sz w:val="20"/>
          <w:szCs w:val="20"/>
        </w:rPr>
        <w:t>taşımasızorunludur</w:t>
      </w:r>
      <w:proofErr w:type="spellEnd"/>
      <w:r w:rsidRPr="005904BC">
        <w:rPr>
          <w:sz w:val="20"/>
          <w:szCs w:val="20"/>
        </w:rPr>
        <w:t xml:space="preserve">.” </w:t>
      </w:r>
    </w:p>
    <w:p w:rsidR="005904BC" w:rsidRPr="005904BC" w:rsidRDefault="005904BC" w:rsidP="005904BC">
      <w:pPr>
        <w:pStyle w:val="NormalWeb"/>
        <w:rPr>
          <w:sz w:val="20"/>
          <w:szCs w:val="20"/>
        </w:rPr>
      </w:pPr>
      <w:r w:rsidRPr="005904BC">
        <w:rPr>
          <w:rStyle w:val="Gl"/>
          <w:sz w:val="20"/>
          <w:szCs w:val="20"/>
        </w:rPr>
        <w:t>MADDE 18 –</w:t>
      </w:r>
      <w:r w:rsidRPr="005904BC">
        <w:rPr>
          <w:sz w:val="20"/>
          <w:szCs w:val="20"/>
        </w:rPr>
        <w:t> Aynı Tebliğin 20 </w:t>
      </w:r>
      <w:proofErr w:type="spellStart"/>
      <w:r w:rsidRPr="005904BC">
        <w:rPr>
          <w:sz w:val="20"/>
          <w:szCs w:val="20"/>
        </w:rPr>
        <w:t>nci</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20 –</w:t>
      </w:r>
      <w:r w:rsidRPr="005904BC">
        <w:rPr>
          <w:sz w:val="20"/>
          <w:szCs w:val="20"/>
        </w:rPr>
        <w:t> (1) Yönetim kurulu üyeleri, yönetim kurulunun alacağı kararlarda taraf olan kimselerden Kurul tarafından belirlenen kurumsal yönetim ilkelerine göre bağımsız olmaması durumunda, bu hususu gerekçeleri ile birlikte yönetim kuruluna bildirmek ve her hâlükârda toplantı tutanağına işletmekle yükümlüdür. Bu hususta </w:t>
      </w:r>
      <w:proofErr w:type="spellStart"/>
      <w:r w:rsidRPr="005904BC">
        <w:rPr>
          <w:sz w:val="20"/>
          <w:szCs w:val="20"/>
        </w:rPr>
        <w:t>TTK’nın"Müzakereye</w:t>
      </w:r>
      <w:proofErr w:type="spellEnd"/>
      <w:r w:rsidRPr="005904BC">
        <w:rPr>
          <w:sz w:val="20"/>
          <w:szCs w:val="20"/>
        </w:rPr>
        <w:t xml:space="preserve"> katılma yasağı" başlıklı 393 üncü maddesi hükmü saklıdır.” </w:t>
      </w:r>
    </w:p>
    <w:p w:rsidR="005904BC" w:rsidRPr="005904BC" w:rsidRDefault="005904BC" w:rsidP="005904BC">
      <w:pPr>
        <w:pStyle w:val="NormalWeb"/>
        <w:rPr>
          <w:sz w:val="20"/>
          <w:szCs w:val="20"/>
        </w:rPr>
      </w:pPr>
      <w:r w:rsidRPr="005904BC">
        <w:rPr>
          <w:rStyle w:val="Gl"/>
          <w:sz w:val="20"/>
          <w:szCs w:val="20"/>
        </w:rPr>
        <w:t>MADDE 19 – </w:t>
      </w:r>
      <w:r w:rsidRPr="005904BC">
        <w:rPr>
          <w:sz w:val="20"/>
          <w:szCs w:val="20"/>
        </w:rPr>
        <w:t>Aynı Tebliğin 21 inci maddesinin birinci ve ikinci fıkraları aşağıdaki şekilde değiştirilmiştir.</w:t>
      </w:r>
    </w:p>
    <w:p w:rsidR="005904BC" w:rsidRPr="005904BC" w:rsidRDefault="005904BC" w:rsidP="005904BC">
      <w:pPr>
        <w:pStyle w:val="NormalWeb"/>
        <w:rPr>
          <w:sz w:val="20"/>
          <w:szCs w:val="20"/>
        </w:rPr>
      </w:pPr>
      <w:proofErr w:type="gramStart"/>
      <w:r w:rsidRPr="005904BC">
        <w:rPr>
          <w:sz w:val="20"/>
          <w:szCs w:val="20"/>
        </w:rPr>
        <w:t xml:space="preserve">“(1) Payları halka arz edilen ortaklıklar ile bu fıkrada sayılan taraflar arasında olan ve bu fıkrada sayılan işlemlerin gerçekleştirilmesi amacıyla alınan yönetim kurulu kararlarının Kurulun özel durumların kamuya açıklanmasına ilişkin düzenlemeleri çerçevesinde kamuya açıklanması, ayrıca karar oybirliği ile alınmadığı takdirde yapılacak ilk genel kurul toplantısının gündemine alınarak ortaklara bilgi verilmesi gerekir. </w:t>
      </w:r>
      <w:proofErr w:type="gramEnd"/>
    </w:p>
    <w:p w:rsidR="005904BC" w:rsidRPr="005904BC" w:rsidRDefault="005904BC" w:rsidP="005904BC">
      <w:pPr>
        <w:pStyle w:val="NormalWeb"/>
        <w:rPr>
          <w:sz w:val="20"/>
          <w:szCs w:val="20"/>
        </w:rPr>
      </w:pPr>
      <w:r w:rsidRPr="005904BC">
        <w:rPr>
          <w:sz w:val="20"/>
          <w:szCs w:val="20"/>
        </w:rPr>
        <w:lastRenderedPageBreak/>
        <w:t>a) Taraflar;</w:t>
      </w:r>
    </w:p>
    <w:p w:rsidR="005904BC" w:rsidRPr="005904BC" w:rsidRDefault="005904BC" w:rsidP="005904BC">
      <w:pPr>
        <w:pStyle w:val="NormalWeb"/>
        <w:rPr>
          <w:sz w:val="20"/>
          <w:szCs w:val="20"/>
        </w:rPr>
      </w:pPr>
      <w:r w:rsidRPr="005904BC">
        <w:rPr>
          <w:sz w:val="20"/>
          <w:szCs w:val="20"/>
        </w:rPr>
        <w:t>1) Ortaklıkta sermayenin %20 veya üzerinde paya veya bu oranda oy hakkına sahip ortaklar,</w:t>
      </w:r>
    </w:p>
    <w:p w:rsidR="005904BC" w:rsidRPr="005904BC" w:rsidRDefault="005904BC" w:rsidP="005904BC">
      <w:pPr>
        <w:pStyle w:val="NormalWeb"/>
        <w:rPr>
          <w:sz w:val="20"/>
          <w:szCs w:val="20"/>
        </w:rPr>
      </w:pPr>
      <w:r w:rsidRPr="005904BC">
        <w:rPr>
          <w:sz w:val="20"/>
          <w:szCs w:val="20"/>
        </w:rPr>
        <w:t>2) Ortaklıkta yönetim kuruluna aday gösterme imtiyazını içeren pay sahibi ortaklar,</w:t>
      </w:r>
    </w:p>
    <w:p w:rsidR="005904BC" w:rsidRPr="005904BC" w:rsidRDefault="005904BC" w:rsidP="005904BC">
      <w:pPr>
        <w:pStyle w:val="NormalWeb"/>
        <w:rPr>
          <w:sz w:val="20"/>
          <w:szCs w:val="20"/>
        </w:rPr>
      </w:pPr>
      <w:r w:rsidRPr="005904BC">
        <w:rPr>
          <w:sz w:val="20"/>
          <w:szCs w:val="20"/>
        </w:rPr>
        <w:t xml:space="preserve">3) (1) ve (2) numaralı alt bentlerde sayılanların %20’den fazla paya veya bu oranda oy hakkına sahip </w:t>
      </w:r>
      <w:proofErr w:type="spellStart"/>
      <w:r w:rsidRPr="005904BC">
        <w:rPr>
          <w:sz w:val="20"/>
          <w:szCs w:val="20"/>
        </w:rPr>
        <w:t>olduklarıdiğer</w:t>
      </w:r>
      <w:proofErr w:type="spellEnd"/>
      <w:r w:rsidRPr="005904BC">
        <w:rPr>
          <w:sz w:val="20"/>
          <w:szCs w:val="20"/>
        </w:rPr>
        <w:t> şirketler,</w:t>
      </w:r>
    </w:p>
    <w:p w:rsidR="005904BC" w:rsidRPr="005904BC" w:rsidRDefault="005904BC" w:rsidP="005904BC">
      <w:pPr>
        <w:pStyle w:val="NormalWeb"/>
        <w:rPr>
          <w:sz w:val="20"/>
          <w:szCs w:val="20"/>
        </w:rPr>
      </w:pPr>
      <w:r w:rsidRPr="005904BC">
        <w:rPr>
          <w:sz w:val="20"/>
          <w:szCs w:val="20"/>
        </w:rPr>
        <w:t>4) Ortaklığın iştirakleri,</w:t>
      </w:r>
    </w:p>
    <w:p w:rsidR="005904BC" w:rsidRPr="005904BC" w:rsidRDefault="005904BC" w:rsidP="005904BC">
      <w:pPr>
        <w:pStyle w:val="NormalWeb"/>
        <w:rPr>
          <w:sz w:val="20"/>
          <w:szCs w:val="20"/>
        </w:rPr>
      </w:pPr>
      <w:r w:rsidRPr="005904BC">
        <w:rPr>
          <w:sz w:val="20"/>
          <w:szCs w:val="20"/>
        </w:rPr>
        <w:t>5) Ortaklığa işletmecilik hizmeti veren şirketler,</w:t>
      </w:r>
    </w:p>
    <w:p w:rsidR="005904BC" w:rsidRPr="005904BC" w:rsidRDefault="005904BC" w:rsidP="005904BC">
      <w:pPr>
        <w:pStyle w:val="NormalWeb"/>
        <w:rPr>
          <w:sz w:val="20"/>
          <w:szCs w:val="20"/>
        </w:rPr>
      </w:pPr>
      <w:r w:rsidRPr="005904BC">
        <w:rPr>
          <w:sz w:val="20"/>
          <w:szCs w:val="20"/>
        </w:rPr>
        <w:t>6) Ortaklığa </w:t>
      </w:r>
      <w:proofErr w:type="gramStart"/>
      <w:r w:rsidRPr="005904BC">
        <w:rPr>
          <w:sz w:val="20"/>
          <w:szCs w:val="20"/>
        </w:rPr>
        <w:t>portföy</w:t>
      </w:r>
      <w:proofErr w:type="gramEnd"/>
      <w:r w:rsidRPr="005904BC">
        <w:rPr>
          <w:sz w:val="20"/>
          <w:szCs w:val="20"/>
        </w:rPr>
        <w:t> yönetim hizmeti veren şirketler,</w:t>
      </w:r>
    </w:p>
    <w:p w:rsidR="005904BC" w:rsidRPr="005904BC" w:rsidRDefault="005904BC" w:rsidP="005904BC">
      <w:pPr>
        <w:pStyle w:val="NormalWeb"/>
        <w:rPr>
          <w:sz w:val="20"/>
          <w:szCs w:val="20"/>
        </w:rPr>
      </w:pPr>
      <w:r w:rsidRPr="005904BC">
        <w:rPr>
          <w:sz w:val="20"/>
          <w:szCs w:val="20"/>
        </w:rPr>
        <w:t>7) Ortaklığa danışmanlık hizmeti veren şirketler,</w:t>
      </w:r>
    </w:p>
    <w:p w:rsidR="005904BC" w:rsidRPr="005904BC" w:rsidRDefault="005904BC" w:rsidP="005904BC">
      <w:pPr>
        <w:pStyle w:val="NormalWeb"/>
        <w:rPr>
          <w:sz w:val="20"/>
          <w:szCs w:val="20"/>
        </w:rPr>
      </w:pPr>
      <w:r w:rsidRPr="005904BC">
        <w:rPr>
          <w:sz w:val="20"/>
          <w:szCs w:val="20"/>
        </w:rPr>
        <w:t>8) Ortaklığa inşaat hizmeti verecek </w:t>
      </w:r>
      <w:proofErr w:type="gramStart"/>
      <w:r w:rsidRPr="005904BC">
        <w:rPr>
          <w:sz w:val="20"/>
          <w:szCs w:val="20"/>
        </w:rPr>
        <w:t>müteahhitler</w:t>
      </w:r>
      <w:proofErr w:type="gramEnd"/>
      <w:r w:rsidRPr="005904BC">
        <w:rPr>
          <w:sz w:val="20"/>
          <w:szCs w:val="20"/>
        </w:rPr>
        <w:t>,</w:t>
      </w:r>
    </w:p>
    <w:p w:rsidR="005904BC" w:rsidRPr="005904BC" w:rsidRDefault="005904BC" w:rsidP="005904BC">
      <w:pPr>
        <w:pStyle w:val="NormalWeb"/>
        <w:rPr>
          <w:sz w:val="20"/>
          <w:szCs w:val="20"/>
        </w:rPr>
      </w:pPr>
      <w:r w:rsidRPr="005904BC">
        <w:rPr>
          <w:sz w:val="20"/>
          <w:szCs w:val="20"/>
        </w:rPr>
        <w:t>9) Ortaklığın ortak olduğu bir adi ortaklığın diğer ortakları,</w:t>
      </w:r>
    </w:p>
    <w:p w:rsidR="005904BC" w:rsidRPr="005904BC" w:rsidRDefault="005904BC" w:rsidP="005904BC">
      <w:pPr>
        <w:pStyle w:val="NormalWeb"/>
        <w:rPr>
          <w:sz w:val="20"/>
          <w:szCs w:val="20"/>
        </w:rPr>
      </w:pPr>
      <w:r w:rsidRPr="005904BC">
        <w:rPr>
          <w:sz w:val="20"/>
          <w:szCs w:val="20"/>
        </w:rPr>
        <w:t>10) Ortaklığın ilişkili tarafları.</w:t>
      </w:r>
    </w:p>
    <w:p w:rsidR="005904BC" w:rsidRPr="005904BC" w:rsidRDefault="005904BC" w:rsidP="005904BC">
      <w:pPr>
        <w:pStyle w:val="NormalWeb"/>
        <w:rPr>
          <w:sz w:val="20"/>
          <w:szCs w:val="20"/>
        </w:rPr>
      </w:pPr>
      <w:r w:rsidRPr="005904BC">
        <w:rPr>
          <w:sz w:val="20"/>
          <w:szCs w:val="20"/>
        </w:rPr>
        <w:t>b) Özellik arz eden kararlar;</w:t>
      </w:r>
    </w:p>
    <w:p w:rsidR="005904BC" w:rsidRPr="005904BC" w:rsidRDefault="005904BC" w:rsidP="005904BC">
      <w:pPr>
        <w:pStyle w:val="NormalWeb"/>
        <w:rPr>
          <w:sz w:val="20"/>
          <w:szCs w:val="20"/>
        </w:rPr>
      </w:pPr>
      <w:r w:rsidRPr="005904BC">
        <w:rPr>
          <w:sz w:val="20"/>
          <w:szCs w:val="20"/>
        </w:rPr>
        <w:t>1) Ortaklık tarafından varlık alınması, satılması, kiralanması veya kiraya verilmesine ilişkin kararlar,</w:t>
      </w:r>
    </w:p>
    <w:p w:rsidR="005904BC" w:rsidRPr="005904BC" w:rsidRDefault="005904BC" w:rsidP="005904BC">
      <w:pPr>
        <w:pStyle w:val="NormalWeb"/>
        <w:rPr>
          <w:sz w:val="20"/>
          <w:szCs w:val="20"/>
        </w:rPr>
      </w:pPr>
      <w:r w:rsidRPr="005904BC">
        <w:rPr>
          <w:sz w:val="20"/>
          <w:szCs w:val="20"/>
        </w:rPr>
        <w:t>2) Ortaklık </w:t>
      </w:r>
      <w:proofErr w:type="gramStart"/>
      <w:r w:rsidRPr="005904BC">
        <w:rPr>
          <w:sz w:val="20"/>
          <w:szCs w:val="20"/>
        </w:rPr>
        <w:t>portföyündeki</w:t>
      </w:r>
      <w:proofErr w:type="gramEnd"/>
      <w:r w:rsidRPr="005904BC">
        <w:rPr>
          <w:sz w:val="20"/>
          <w:szCs w:val="20"/>
        </w:rPr>
        <w:t> varlıkların pazarlamasını gerçekleştirecek şirketlerin belirlenmesine ilişkin kararlar,</w:t>
      </w:r>
    </w:p>
    <w:p w:rsidR="005904BC" w:rsidRPr="005904BC" w:rsidRDefault="005904BC" w:rsidP="005904BC">
      <w:pPr>
        <w:pStyle w:val="NormalWeb"/>
        <w:rPr>
          <w:sz w:val="20"/>
          <w:szCs w:val="20"/>
        </w:rPr>
      </w:pPr>
      <w:r w:rsidRPr="005904BC">
        <w:rPr>
          <w:sz w:val="20"/>
          <w:szCs w:val="20"/>
        </w:rPr>
        <w:t>3) Kredi ilişkisi kurulmasına ilişkin kararlar,</w:t>
      </w:r>
    </w:p>
    <w:p w:rsidR="005904BC" w:rsidRPr="005904BC" w:rsidRDefault="005904BC" w:rsidP="005904BC">
      <w:pPr>
        <w:pStyle w:val="NormalWeb"/>
        <w:rPr>
          <w:sz w:val="20"/>
          <w:szCs w:val="20"/>
        </w:rPr>
      </w:pPr>
      <w:r w:rsidRPr="005904BC">
        <w:rPr>
          <w:sz w:val="20"/>
          <w:szCs w:val="20"/>
        </w:rPr>
        <w:t>4) Ortaklığın paylarının halka arzında, satın alma taahhüdünde bulunan yatırım kuruluşlarının belirlenmesine ilişkin kararlar,</w:t>
      </w:r>
    </w:p>
    <w:p w:rsidR="005904BC" w:rsidRPr="005904BC" w:rsidRDefault="005904BC" w:rsidP="005904BC">
      <w:pPr>
        <w:pStyle w:val="NormalWeb"/>
        <w:rPr>
          <w:sz w:val="20"/>
          <w:szCs w:val="20"/>
        </w:rPr>
      </w:pPr>
      <w:r w:rsidRPr="005904BC">
        <w:rPr>
          <w:sz w:val="20"/>
          <w:szCs w:val="20"/>
        </w:rPr>
        <w:t>5) Ortak yatırım yapılmasına ilişkin kararlar,</w:t>
      </w:r>
    </w:p>
    <w:p w:rsidR="005904BC" w:rsidRPr="005904BC" w:rsidRDefault="005904BC" w:rsidP="005904BC">
      <w:pPr>
        <w:pStyle w:val="NormalWeb"/>
        <w:rPr>
          <w:sz w:val="20"/>
          <w:szCs w:val="20"/>
        </w:rPr>
      </w:pPr>
      <w:r w:rsidRPr="005904BC">
        <w:rPr>
          <w:sz w:val="20"/>
          <w:szCs w:val="20"/>
        </w:rPr>
        <w:t>6) Ortaklığa mali, hukuki veya teknik danışmanlık hizmeti verecek gerçek veya tüzel kişilerin belirlenmesine ilişkin kararlar,</w:t>
      </w:r>
    </w:p>
    <w:p w:rsidR="005904BC" w:rsidRPr="005904BC" w:rsidRDefault="005904BC" w:rsidP="005904BC">
      <w:pPr>
        <w:pStyle w:val="NormalWeb"/>
        <w:rPr>
          <w:sz w:val="20"/>
          <w:szCs w:val="20"/>
        </w:rPr>
      </w:pPr>
      <w:r w:rsidRPr="005904BC">
        <w:rPr>
          <w:sz w:val="20"/>
          <w:szCs w:val="20"/>
        </w:rPr>
        <w:t>7) Ortaklığa proje geliştirme, kontrol veya müteahhitlik, işletmecilik veya </w:t>
      </w:r>
      <w:proofErr w:type="gramStart"/>
      <w:r w:rsidRPr="005904BC">
        <w:rPr>
          <w:sz w:val="20"/>
          <w:szCs w:val="20"/>
        </w:rPr>
        <w:t>portföy</w:t>
      </w:r>
      <w:proofErr w:type="gramEnd"/>
      <w:r w:rsidRPr="005904BC">
        <w:rPr>
          <w:sz w:val="20"/>
          <w:szCs w:val="20"/>
        </w:rPr>
        <w:t> yönetimi hizmeti verecek gerçek veya tüzel kişilerin belirlenmesine ilişkin kararlar,</w:t>
      </w:r>
    </w:p>
    <w:p w:rsidR="005904BC" w:rsidRPr="005904BC" w:rsidRDefault="005904BC" w:rsidP="005904BC">
      <w:pPr>
        <w:pStyle w:val="NormalWeb"/>
        <w:rPr>
          <w:sz w:val="20"/>
          <w:szCs w:val="20"/>
        </w:rPr>
      </w:pPr>
      <w:r w:rsidRPr="005904BC">
        <w:rPr>
          <w:sz w:val="20"/>
          <w:szCs w:val="20"/>
        </w:rPr>
        <w:t>8) (a) bendinde yer alan tüzel kişilerin ihraç ettiği sermaye piyasası araçlarının ortaklık </w:t>
      </w:r>
      <w:proofErr w:type="gramStart"/>
      <w:r w:rsidRPr="005904BC">
        <w:rPr>
          <w:sz w:val="20"/>
          <w:szCs w:val="20"/>
        </w:rPr>
        <w:t>portföyüne</w:t>
      </w:r>
      <w:proofErr w:type="gramEnd"/>
      <w:r w:rsidRPr="005904BC">
        <w:rPr>
          <w:sz w:val="20"/>
          <w:szCs w:val="20"/>
        </w:rPr>
        <w:t> alınmasına ilişkin kararlar,</w:t>
      </w:r>
    </w:p>
    <w:p w:rsidR="005904BC" w:rsidRPr="005904BC" w:rsidRDefault="005904BC" w:rsidP="005904BC">
      <w:pPr>
        <w:pStyle w:val="NormalWeb"/>
        <w:rPr>
          <w:sz w:val="20"/>
          <w:szCs w:val="20"/>
        </w:rPr>
      </w:pPr>
      <w:r w:rsidRPr="005904BC">
        <w:rPr>
          <w:sz w:val="20"/>
          <w:szCs w:val="20"/>
        </w:rPr>
        <w:t>9) Adi ortaklık kurulmasına veya mevcut bir adi ortaklığın faaliyetlerine son verilmesine ilişkin kararlar,</w:t>
      </w:r>
    </w:p>
    <w:p w:rsidR="005904BC" w:rsidRPr="005904BC" w:rsidRDefault="005904BC" w:rsidP="005904BC">
      <w:pPr>
        <w:pStyle w:val="NormalWeb"/>
        <w:rPr>
          <w:sz w:val="20"/>
          <w:szCs w:val="20"/>
        </w:rPr>
      </w:pPr>
      <w:r w:rsidRPr="005904BC">
        <w:rPr>
          <w:sz w:val="20"/>
          <w:szCs w:val="20"/>
        </w:rPr>
        <w:t>10) Ortaklık ile ilişkili taraflar arasında mal ve hizmet alımına dayanan işlemlere ilişkin kararlar,</w:t>
      </w:r>
    </w:p>
    <w:p w:rsidR="005904BC" w:rsidRPr="005904BC" w:rsidRDefault="005904BC" w:rsidP="005904BC">
      <w:pPr>
        <w:pStyle w:val="NormalWeb"/>
        <w:rPr>
          <w:sz w:val="20"/>
          <w:szCs w:val="20"/>
        </w:rPr>
      </w:pPr>
      <w:r w:rsidRPr="005904BC">
        <w:rPr>
          <w:sz w:val="20"/>
          <w:szCs w:val="20"/>
        </w:rPr>
        <w:t xml:space="preserve">11) Bunlar dışında kalmakla birlikte, (a) bendinde sayılan taraflardan herhangi birisinin lehine sonuç doğurucu nitelikteki kararlar.” </w:t>
      </w:r>
    </w:p>
    <w:p w:rsidR="005904BC" w:rsidRPr="005904BC" w:rsidRDefault="005904BC" w:rsidP="005904BC">
      <w:pPr>
        <w:pStyle w:val="NormalWeb"/>
        <w:rPr>
          <w:sz w:val="20"/>
          <w:szCs w:val="20"/>
        </w:rPr>
      </w:pPr>
      <w:r w:rsidRPr="005904BC">
        <w:rPr>
          <w:sz w:val="20"/>
          <w:szCs w:val="20"/>
        </w:rPr>
        <w:t xml:space="preserve">“(2) Ortaklıklar ile ilişkili taraflar arasında yapılan işlemlere yönelik olarak Kurul tarafından belirlenen kurumsal yönetim ilkeleri saklıdır.” </w:t>
      </w:r>
    </w:p>
    <w:p w:rsidR="005904BC" w:rsidRPr="005904BC" w:rsidRDefault="005904BC" w:rsidP="005904BC">
      <w:pPr>
        <w:pStyle w:val="NormalWeb"/>
        <w:rPr>
          <w:sz w:val="20"/>
          <w:szCs w:val="20"/>
        </w:rPr>
      </w:pPr>
      <w:r w:rsidRPr="005904BC">
        <w:rPr>
          <w:rStyle w:val="Gl"/>
          <w:sz w:val="20"/>
          <w:szCs w:val="20"/>
        </w:rPr>
        <w:lastRenderedPageBreak/>
        <w:t>MADDE 20 – </w:t>
      </w:r>
      <w:r w:rsidRPr="005904BC">
        <w:rPr>
          <w:sz w:val="20"/>
          <w:szCs w:val="20"/>
        </w:rPr>
        <w:t>Aynı Tebliğin 22 </w:t>
      </w:r>
      <w:proofErr w:type="spellStart"/>
      <w:r w:rsidRPr="005904BC">
        <w:rPr>
          <w:sz w:val="20"/>
          <w:szCs w:val="20"/>
        </w:rPr>
        <w:t>nci</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22 –</w:t>
      </w:r>
      <w:r w:rsidRPr="005904BC">
        <w:rPr>
          <w:sz w:val="20"/>
          <w:szCs w:val="20"/>
        </w:rPr>
        <w:t> (1) Bu Tebliğde yer alan sınırlamalar saklı kalmak üzere, ortaklıklar veya ortaklıkların;</w:t>
      </w:r>
    </w:p>
    <w:p w:rsidR="005904BC" w:rsidRPr="005904BC" w:rsidRDefault="005904BC" w:rsidP="005904BC">
      <w:pPr>
        <w:pStyle w:val="NormalWeb"/>
        <w:rPr>
          <w:sz w:val="20"/>
          <w:szCs w:val="20"/>
        </w:rPr>
      </w:pPr>
      <w:r w:rsidRPr="005904BC">
        <w:rPr>
          <w:sz w:val="20"/>
          <w:szCs w:val="20"/>
        </w:rPr>
        <w:t>a) Alım satım kârı veya kira geliri elde etmek amacıyla; arsa, arazi, konut, ofis, alışveriş merkezi, otel, lojistik merkezi, depo, park, hastane ve benzeri her türlü gayrimenkulü satın alabilir, satabilir, kiralayabilir, kiraya verebilir ve satın almayı veya satmayı </w:t>
      </w:r>
      <w:proofErr w:type="spellStart"/>
      <w:r w:rsidRPr="005904BC">
        <w:rPr>
          <w:sz w:val="20"/>
          <w:szCs w:val="20"/>
        </w:rPr>
        <w:t>vaad</w:t>
      </w:r>
      <w:proofErr w:type="spellEnd"/>
      <w:r w:rsidRPr="005904BC">
        <w:rPr>
          <w:sz w:val="20"/>
          <w:szCs w:val="20"/>
        </w:rPr>
        <w:t> edebilirler. Şu kadar ki münhasıran altyapı yatırım ve hizmetlerinden oluşan </w:t>
      </w:r>
      <w:proofErr w:type="gramStart"/>
      <w:r w:rsidRPr="005904BC">
        <w:rPr>
          <w:sz w:val="20"/>
          <w:szCs w:val="20"/>
        </w:rPr>
        <w:t>portföyü</w:t>
      </w:r>
      <w:proofErr w:type="gramEnd"/>
      <w:r w:rsidRPr="005904BC">
        <w:rPr>
          <w:sz w:val="20"/>
          <w:szCs w:val="20"/>
        </w:rPr>
        <w:t> işletecek ortaklıklar bu bentte yer alan işlemleri gerçekleştiremezler.</w:t>
      </w:r>
    </w:p>
    <w:p w:rsidR="005904BC" w:rsidRPr="005904BC" w:rsidRDefault="005904BC" w:rsidP="005904BC">
      <w:pPr>
        <w:pStyle w:val="NormalWeb"/>
        <w:rPr>
          <w:sz w:val="20"/>
          <w:szCs w:val="20"/>
        </w:rPr>
      </w:pPr>
      <w:r w:rsidRPr="005904BC">
        <w:rPr>
          <w:sz w:val="20"/>
          <w:szCs w:val="20"/>
        </w:rPr>
        <w:t>b) Portföylerine alınacak her türlü bina ve benzeri yapılara ilişkin olarak yapı kullanma izninin alınmış ve kat mülkiyetinin tesis edilmiş olması zorunludur. </w:t>
      </w:r>
      <w:proofErr w:type="gramStart"/>
      <w:r w:rsidRPr="005904BC">
        <w:rPr>
          <w:sz w:val="20"/>
          <w:szCs w:val="20"/>
        </w:rPr>
        <w:t>Ancak, mülkiyeti tek başına ya da başka kişilerle birlikte ortaklığa ait olan otel, alışveriş merkezi, iş merkezi, hastane, ticari depo, fabrika, ofis binası ve şube gibi yapıların, tamamının veya bölümlerinin yalnızca kira geliri elde etme amacıyla kullanılması halinde, anılan yapıya ilişkin olarak yapı kullanma izninin alınması ve tapu senedinde belirtilen niteliğinin taşınmazın mevcut durumuna uygun olması yeterli kabul edilir.</w:t>
      </w:r>
      <w:proofErr w:type="gramEnd"/>
    </w:p>
    <w:p w:rsidR="005904BC" w:rsidRPr="005904BC" w:rsidRDefault="005904BC" w:rsidP="005904BC">
      <w:pPr>
        <w:pStyle w:val="NormalWeb"/>
        <w:rPr>
          <w:sz w:val="20"/>
          <w:szCs w:val="20"/>
        </w:rPr>
      </w:pPr>
      <w:r w:rsidRPr="005904BC">
        <w:rPr>
          <w:sz w:val="20"/>
          <w:szCs w:val="20"/>
        </w:rPr>
        <w:t>c) Portföylerine ancak üzerinde ipotek bulunmayan veya gayrimenkulün değerini doğrudan ve önemli ölçüde etkileyecek nitelikte herhangi bir </w:t>
      </w:r>
      <w:proofErr w:type="spellStart"/>
      <w:r w:rsidRPr="005904BC">
        <w:rPr>
          <w:sz w:val="20"/>
          <w:szCs w:val="20"/>
        </w:rPr>
        <w:t>takyidat</w:t>
      </w:r>
      <w:proofErr w:type="spellEnd"/>
      <w:r w:rsidRPr="005904BC">
        <w:rPr>
          <w:sz w:val="20"/>
          <w:szCs w:val="20"/>
        </w:rPr>
        <w:t> şerhi olmayan gayrimenkuller ile gayrimenkule dayalı haklar </w:t>
      </w:r>
      <w:proofErr w:type="gramStart"/>
      <w:r w:rsidRPr="005904BC">
        <w:rPr>
          <w:sz w:val="20"/>
          <w:szCs w:val="20"/>
        </w:rPr>
        <w:t>dahil</w:t>
      </w:r>
      <w:proofErr w:type="gramEnd"/>
      <w:r w:rsidRPr="005904BC">
        <w:rPr>
          <w:sz w:val="20"/>
          <w:szCs w:val="20"/>
        </w:rPr>
        <w:t> edilebilir. Bu hususta 30 uncu madde hükümleri saklıdır.</w:t>
      </w:r>
    </w:p>
    <w:p w:rsidR="005904BC" w:rsidRPr="005904BC" w:rsidRDefault="005904BC" w:rsidP="005904BC">
      <w:pPr>
        <w:pStyle w:val="NormalWeb"/>
        <w:rPr>
          <w:sz w:val="20"/>
          <w:szCs w:val="20"/>
        </w:rPr>
      </w:pPr>
      <w:r w:rsidRPr="005904BC">
        <w:rPr>
          <w:sz w:val="20"/>
          <w:szCs w:val="20"/>
        </w:rPr>
        <w:t>ç) Kendi mülkiyetlerindeki arsa ve arazilerin yanı sıra, </w:t>
      </w:r>
      <w:proofErr w:type="gramStart"/>
      <w:r w:rsidRPr="005904BC">
        <w:rPr>
          <w:sz w:val="20"/>
          <w:szCs w:val="20"/>
        </w:rPr>
        <w:t>hasılat</w:t>
      </w:r>
      <w:proofErr w:type="gramEnd"/>
      <w:r w:rsidRPr="005904BC">
        <w:rPr>
          <w:sz w:val="20"/>
          <w:szCs w:val="20"/>
        </w:rPr>
        <w:t> paylaşımı veya kat karşılığı arsa satışı sözleşmeleri akdettiği başka kişilere ait arsalar üzerinde, gayrimenkul projesi geliştirebilirler veya projelere üst hakkı tesis ettirmek suretiyle yatırım yapabilirler. Yapılacak sözleşme hükümleri çerçevesinde bir veya birden fazla tarafla ortak bir şekilde yürütülecek projelerde, ortaklık lehine mülkiyet edinme amacı yok ise, ortaklığın sözleşmeden doğan haklarının Kurulca uygun görülecek nitelikte bir teminata bağlanmış olması zorunludur.</w:t>
      </w:r>
    </w:p>
    <w:p w:rsidR="005904BC" w:rsidRPr="005904BC" w:rsidRDefault="005904BC" w:rsidP="005904BC">
      <w:pPr>
        <w:pStyle w:val="NormalWeb"/>
        <w:rPr>
          <w:sz w:val="20"/>
          <w:szCs w:val="20"/>
        </w:rPr>
      </w:pPr>
      <w:r w:rsidRPr="005904BC">
        <w:rPr>
          <w:sz w:val="20"/>
          <w:szCs w:val="20"/>
        </w:rPr>
        <w:t>d) Gerçekleştirecekleri veya yatırım yapacakları projelerin ilgili mevzuat uyarınca gerekli tüm izinlerinin alınmış, projesinin hazır ve onaylanmış, inşaata başlanması için yasal gerekliliği olan tüm belgelerinin tam ve doğru olarak mevcut olduğu hususlarının bağımsız gayrimenkul değerleme kuruluşları tarafından tespit edilmiş olması gerekir.</w:t>
      </w:r>
    </w:p>
    <w:p w:rsidR="005904BC" w:rsidRPr="005904BC" w:rsidRDefault="005904BC" w:rsidP="005904BC">
      <w:pPr>
        <w:pStyle w:val="NormalWeb"/>
        <w:rPr>
          <w:sz w:val="20"/>
          <w:szCs w:val="20"/>
        </w:rPr>
      </w:pPr>
      <w:proofErr w:type="gramStart"/>
      <w:r w:rsidRPr="005904BC">
        <w:rPr>
          <w:sz w:val="20"/>
          <w:szCs w:val="20"/>
        </w:rPr>
        <w:t xml:space="preserve">e) Mülkiyeti ortaklığa ait olmayan ve ipotek tesis edilmiş arsalar üzerinde proje geliştirilebilmesi için, tesis edilen ipoteğin bedelinin söz konusu arsa için en son hazırlanan değerleme raporunda ulaşılan arsa değerinin %50’sini geçmemesi ve her halükarda üzerinde proje geliştirilecek ipotekli arsaların ipotek bedellerinin, ortaklığın kamuya açıkladığı bağımsız denetimden geçmiş son finansal tablolarında yer alan aktif toplamının %10’unu aşmaması gereklidir. </w:t>
      </w:r>
      <w:proofErr w:type="gramEnd"/>
    </w:p>
    <w:p w:rsidR="005904BC" w:rsidRPr="005904BC" w:rsidRDefault="005904BC" w:rsidP="005904BC">
      <w:pPr>
        <w:pStyle w:val="NormalWeb"/>
        <w:rPr>
          <w:sz w:val="20"/>
          <w:szCs w:val="20"/>
        </w:rPr>
      </w:pPr>
      <w:r w:rsidRPr="005904BC">
        <w:rPr>
          <w:sz w:val="20"/>
          <w:szCs w:val="20"/>
        </w:rPr>
        <w:t>f) Faaliyete geçirilebilmesi için belirli asgari donanıma ihtiyaç duyan otel, hastane veya buna benzer gayrimenkullerin kiraya verilmeden önce tefrişini temin edebilirler.</w:t>
      </w:r>
    </w:p>
    <w:p w:rsidR="005904BC" w:rsidRPr="005904BC" w:rsidRDefault="005904BC" w:rsidP="005904BC">
      <w:pPr>
        <w:pStyle w:val="NormalWeb"/>
        <w:rPr>
          <w:sz w:val="20"/>
          <w:szCs w:val="20"/>
        </w:rPr>
      </w:pPr>
      <w:r w:rsidRPr="005904BC">
        <w:rPr>
          <w:sz w:val="20"/>
          <w:szCs w:val="20"/>
        </w:rPr>
        <w:t>g) Mülkiyeti başka kişilere ait olan gayrimenkuller üzerinde kendi lehine üst hakkı, intifa hakkı ve devre mülk irtifakı tesis edebilir ve bu hakları üçüncü kişilere devredebilirler.</w:t>
      </w:r>
    </w:p>
    <w:p w:rsidR="005904BC" w:rsidRPr="005904BC" w:rsidRDefault="005904BC" w:rsidP="005904BC">
      <w:pPr>
        <w:pStyle w:val="NormalWeb"/>
        <w:rPr>
          <w:sz w:val="20"/>
          <w:szCs w:val="20"/>
        </w:rPr>
      </w:pPr>
      <w:r w:rsidRPr="005904BC">
        <w:rPr>
          <w:sz w:val="20"/>
          <w:szCs w:val="20"/>
        </w:rPr>
        <w:t>ğ) Mülkiyetine sahip oldukları gayrimenkuller üzerinde başka kişiler lehine üst hakkı, intifa hakkı ve devre mülk irtifakı tesis edebilir ve bu hakların üçüncü kişilere devrine izin verebilirler.</w:t>
      </w:r>
    </w:p>
    <w:p w:rsidR="005904BC" w:rsidRPr="005904BC" w:rsidRDefault="005904BC" w:rsidP="005904BC">
      <w:pPr>
        <w:pStyle w:val="NormalWeb"/>
        <w:rPr>
          <w:sz w:val="20"/>
          <w:szCs w:val="20"/>
        </w:rPr>
      </w:pPr>
      <w:r w:rsidRPr="005904BC">
        <w:rPr>
          <w:sz w:val="20"/>
          <w:szCs w:val="20"/>
        </w:rPr>
        <w:t>h) Özel düzenlemeler saklı kalmak kaydıyla Yap-İşlet-Devret modeliyle geliştirilecek projeleri, birinci fıkranın (d) bendinde belirtilen şartların sağlanması koşuluyla kendisi veya başkaları lehine üst hakkı tesis ettirmek suretiyle gerçekleştirebilirler. 4 üncü maddenin üçüncü fıkrası saklıdır.</w:t>
      </w:r>
    </w:p>
    <w:p w:rsidR="005904BC" w:rsidRPr="005904BC" w:rsidRDefault="005904BC" w:rsidP="005904BC">
      <w:pPr>
        <w:pStyle w:val="NormalWeb"/>
        <w:rPr>
          <w:sz w:val="20"/>
          <w:szCs w:val="20"/>
        </w:rPr>
      </w:pPr>
      <w:r w:rsidRPr="005904BC">
        <w:rPr>
          <w:sz w:val="20"/>
          <w:szCs w:val="20"/>
        </w:rPr>
        <w:t>ı) Mülkiyetlerini edinmek kaydıyla yurt dışındaki gayrimenkullere ve yabancı sermaye piyasası araçlarına yatırım yapabilirler. 4 üncü maddenin üçüncü fıkrası saklıdır.</w:t>
      </w:r>
    </w:p>
    <w:p w:rsidR="005904BC" w:rsidRPr="005904BC" w:rsidRDefault="005904BC" w:rsidP="005904BC">
      <w:pPr>
        <w:pStyle w:val="NormalWeb"/>
        <w:rPr>
          <w:sz w:val="20"/>
          <w:szCs w:val="20"/>
        </w:rPr>
      </w:pPr>
      <w:r w:rsidRPr="005904BC">
        <w:rPr>
          <w:sz w:val="20"/>
          <w:szCs w:val="20"/>
        </w:rPr>
        <w:t xml:space="preserve">i) Gayrimenkullere ve gayrimenkul projelerine ilişkin ayni haklar Medeni Kanun hükümlerine göre tesis </w:t>
      </w:r>
      <w:proofErr w:type="gramStart"/>
      <w:r w:rsidRPr="005904BC">
        <w:rPr>
          <w:sz w:val="20"/>
          <w:szCs w:val="20"/>
        </w:rPr>
        <w:t>edilir.İrtifak</w:t>
      </w:r>
      <w:proofErr w:type="gramEnd"/>
      <w:r w:rsidRPr="005904BC">
        <w:rPr>
          <w:sz w:val="20"/>
          <w:szCs w:val="20"/>
        </w:rPr>
        <w:t xml:space="preserve"> haklarından tapuya tescil edilmesi şartıyla yalnızca intifa hakkı, devre mülk irtifakı ve üst hakkı tesis ettirilebilir. Üst hakkı ve devre mülk hakkının devredilebilmesine ilişkin olarak bu hakları doğuran sözleşmelerde herhangi bir sınırlama getirilemez. Ancak özel kanun hükümleri saklıdır.</w:t>
      </w:r>
    </w:p>
    <w:p w:rsidR="005904BC" w:rsidRPr="005904BC" w:rsidRDefault="005904BC" w:rsidP="005904BC">
      <w:pPr>
        <w:pStyle w:val="NormalWeb"/>
        <w:rPr>
          <w:sz w:val="20"/>
          <w:szCs w:val="20"/>
        </w:rPr>
      </w:pPr>
      <w:r w:rsidRPr="005904BC">
        <w:rPr>
          <w:sz w:val="20"/>
          <w:szCs w:val="20"/>
        </w:rPr>
        <w:lastRenderedPageBreak/>
        <w:t>j) Herhangi bir şekilde, devredilebilmesi konusunda bir sınırlamaya tabi olan varlıklara ve haklara yatırım yapamazlar. Yüksek Planlama Kurulundan izin alınması şartı bu hüküm kapsamında devir </w:t>
      </w:r>
      <w:proofErr w:type="spellStart"/>
      <w:r w:rsidRPr="005904BC">
        <w:rPr>
          <w:sz w:val="20"/>
          <w:szCs w:val="20"/>
        </w:rPr>
        <w:t>kısıtı</w:t>
      </w:r>
      <w:proofErr w:type="spellEnd"/>
      <w:r w:rsidRPr="005904BC">
        <w:rPr>
          <w:sz w:val="20"/>
          <w:szCs w:val="20"/>
        </w:rPr>
        <w:t> olarak değerlendirilmez.</w:t>
      </w:r>
    </w:p>
    <w:p w:rsidR="005904BC" w:rsidRPr="005904BC" w:rsidRDefault="005904BC" w:rsidP="005904BC">
      <w:pPr>
        <w:pStyle w:val="NormalWeb"/>
        <w:rPr>
          <w:sz w:val="20"/>
          <w:szCs w:val="20"/>
        </w:rPr>
      </w:pPr>
      <w:r w:rsidRPr="005904BC">
        <w:rPr>
          <w:sz w:val="20"/>
          <w:szCs w:val="20"/>
        </w:rPr>
        <w:t xml:space="preserve">k) Aracılık faaliyeti kapsamında olmamak kaydıyla yerli ve yabancı sermaye piyasası araçlarını alabilir ve </w:t>
      </w:r>
      <w:proofErr w:type="gramStart"/>
      <w:r w:rsidRPr="005904BC">
        <w:rPr>
          <w:sz w:val="20"/>
          <w:szCs w:val="20"/>
        </w:rPr>
        <w:t>satabilir,</w:t>
      </w:r>
      <w:proofErr w:type="spellStart"/>
      <w:r w:rsidRPr="005904BC">
        <w:rPr>
          <w:sz w:val="20"/>
          <w:szCs w:val="20"/>
        </w:rPr>
        <w:t>Takasbank</w:t>
      </w:r>
      <w:proofErr w:type="spellEnd"/>
      <w:proofErr w:type="gramEnd"/>
      <w:r w:rsidRPr="005904BC">
        <w:rPr>
          <w:sz w:val="20"/>
          <w:szCs w:val="20"/>
        </w:rPr>
        <w:t xml:space="preserve"> para piyasası ve ters repo işlemi yapabilir, Türk Lirası cinsinden vadeli mevduat veya katılma hesabı, </w:t>
      </w:r>
      <w:proofErr w:type="spellStart"/>
      <w:r w:rsidRPr="005904BC">
        <w:rPr>
          <w:sz w:val="20"/>
          <w:szCs w:val="20"/>
        </w:rPr>
        <w:t>yabancıpara</w:t>
      </w:r>
      <w:proofErr w:type="spellEnd"/>
      <w:r w:rsidRPr="005904BC">
        <w:rPr>
          <w:sz w:val="20"/>
          <w:szCs w:val="20"/>
        </w:rPr>
        <w:t xml:space="preserve"> cinsinden ise vadeli ve vadesiz mevduat veya özel cari ve katılma hesabı açtırabilirler, sermaye piyasası araçlarını ödünç verebilirler. Ortaklıklar, Kurulun ilgili düzenlemeleri çerçevesinde yapılacak bir sözleşme ile herhangi bir </w:t>
      </w:r>
      <w:proofErr w:type="spellStart"/>
      <w:r w:rsidRPr="005904BC">
        <w:rPr>
          <w:sz w:val="20"/>
          <w:szCs w:val="20"/>
        </w:rPr>
        <w:t>andaportföylerindeki</w:t>
      </w:r>
      <w:proofErr w:type="spellEnd"/>
      <w:r w:rsidRPr="005904BC">
        <w:rPr>
          <w:sz w:val="20"/>
          <w:szCs w:val="20"/>
        </w:rPr>
        <w:t> sermaye piyasası araçlarının piyasa değerinin en fazla %50’si tutarındaki sermaye piyasası araçlarını ödünç verebilir. Ödünç verme işlemi en fazla 90 iş günü süreyle ve ödünç verilen sermaye piyasası araçlarının en az %100’ü karşılığında nakit veya kamu borçlanma araçlarından oluşabilecek teminatın ortaklık adına </w:t>
      </w:r>
      <w:proofErr w:type="spellStart"/>
      <w:r w:rsidRPr="005904BC">
        <w:rPr>
          <w:sz w:val="20"/>
          <w:szCs w:val="20"/>
        </w:rPr>
        <w:t>Takasbank’ta</w:t>
      </w:r>
      <w:proofErr w:type="spellEnd"/>
      <w:r w:rsidRPr="005904BC">
        <w:rPr>
          <w:sz w:val="20"/>
          <w:szCs w:val="20"/>
        </w:rPr>
        <w:t> bloke edilmesi şartıyla yapılabilir. Teminat tutarının ödünç verilen sermaye piyasası araçlarının piyasa değerinin %80’inin altına düşmesi halinde teminatın tamamlanması istenir. Ortaklığın taraf olduğu ödünç verme sözleşmelerine, sözleşmenin ortaklık lehine tek taraflı olarak feshedilebileceğine ilişkin bir hükmün konulması zorunludur.</w:t>
      </w:r>
    </w:p>
    <w:p w:rsidR="005904BC" w:rsidRPr="005904BC" w:rsidRDefault="005904BC" w:rsidP="005904BC">
      <w:pPr>
        <w:pStyle w:val="NormalWeb"/>
        <w:rPr>
          <w:sz w:val="20"/>
          <w:szCs w:val="20"/>
        </w:rPr>
      </w:pPr>
      <w:r w:rsidRPr="005904BC">
        <w:rPr>
          <w:sz w:val="20"/>
          <w:szCs w:val="20"/>
        </w:rPr>
        <w:t>l) Hiçbir şirkette sermaye veya oy haklarının %5’inden fazlasına sahip olamazlar. Ortaklığın tek bir şirketteki para ve sermaye piyasası araçları yatırımlarının toplamı ortaklığın aktif toplamının %10’unu aşamaz.</w:t>
      </w:r>
    </w:p>
    <w:p w:rsidR="005904BC" w:rsidRPr="005904BC" w:rsidRDefault="005904BC" w:rsidP="005904BC">
      <w:pPr>
        <w:pStyle w:val="NormalWeb"/>
        <w:rPr>
          <w:sz w:val="20"/>
          <w:szCs w:val="20"/>
        </w:rPr>
      </w:pPr>
      <w:r w:rsidRPr="005904BC">
        <w:rPr>
          <w:sz w:val="20"/>
          <w:szCs w:val="20"/>
        </w:rPr>
        <w:t>m) Altın, kıymetli madenler ve diğer emtialar ile bunlara dayalı vadeli işlem sözleşmelerine yatırım yapamazlar.</w:t>
      </w:r>
    </w:p>
    <w:p w:rsidR="005904BC" w:rsidRPr="005904BC" w:rsidRDefault="005904BC" w:rsidP="005904BC">
      <w:pPr>
        <w:pStyle w:val="NormalWeb"/>
        <w:rPr>
          <w:sz w:val="20"/>
          <w:szCs w:val="20"/>
        </w:rPr>
      </w:pPr>
      <w:r w:rsidRPr="005904BC">
        <w:rPr>
          <w:sz w:val="20"/>
          <w:szCs w:val="20"/>
        </w:rPr>
        <w:t>n) Yatırım fonları payları ve türev araçlar hariç, borsalarda veya borsa dışı teşkilatlanmış piyasalarda işlem görmeyen sermaye piyasası araçlarına yatırım yapamazlar, sermaye piyasası araçlarının alım satımlarının Borsa kanalıyla yapılması zorunludur.</w:t>
      </w:r>
    </w:p>
    <w:p w:rsidR="005904BC" w:rsidRPr="005904BC" w:rsidRDefault="005904BC" w:rsidP="005904BC">
      <w:pPr>
        <w:pStyle w:val="NormalWeb"/>
        <w:rPr>
          <w:sz w:val="20"/>
          <w:szCs w:val="20"/>
        </w:rPr>
      </w:pPr>
      <w:r w:rsidRPr="005904BC">
        <w:rPr>
          <w:sz w:val="20"/>
          <w:szCs w:val="20"/>
        </w:rPr>
        <w:t xml:space="preserve">o) Sermaye piyasası araçlarını açığa satamazlar, kredili menkul kıymet işlemi yapamazlar ve sermaye </w:t>
      </w:r>
      <w:proofErr w:type="spellStart"/>
      <w:r w:rsidRPr="005904BC">
        <w:rPr>
          <w:sz w:val="20"/>
          <w:szCs w:val="20"/>
        </w:rPr>
        <w:t>piyasasıaraçlarını</w:t>
      </w:r>
      <w:proofErr w:type="spellEnd"/>
      <w:r w:rsidRPr="005904BC">
        <w:rPr>
          <w:sz w:val="20"/>
          <w:szCs w:val="20"/>
        </w:rPr>
        <w:t> ödünç alamazlar.</w:t>
      </w:r>
    </w:p>
    <w:p w:rsidR="005904BC" w:rsidRPr="005904BC" w:rsidRDefault="005904BC" w:rsidP="005904BC">
      <w:pPr>
        <w:pStyle w:val="NormalWeb"/>
        <w:rPr>
          <w:sz w:val="20"/>
          <w:szCs w:val="20"/>
        </w:rPr>
      </w:pPr>
      <w:r w:rsidRPr="005904BC">
        <w:rPr>
          <w:sz w:val="20"/>
          <w:szCs w:val="20"/>
        </w:rPr>
        <w:t>ö) Türev araçları kullanarak korunma amacını aşan işlemler yapamazlar.</w:t>
      </w:r>
    </w:p>
    <w:p w:rsidR="005904BC" w:rsidRPr="005904BC" w:rsidRDefault="005904BC" w:rsidP="005904BC">
      <w:pPr>
        <w:pStyle w:val="NormalWeb"/>
        <w:rPr>
          <w:sz w:val="20"/>
          <w:szCs w:val="20"/>
        </w:rPr>
      </w:pPr>
      <w:r w:rsidRPr="005904BC">
        <w:rPr>
          <w:sz w:val="20"/>
          <w:szCs w:val="20"/>
        </w:rPr>
        <w:t xml:space="preserve">p) Kanunen ödemekle yükümlü oldukları vergi, harç ve benzeri diğer giderler hariç olmak üzere </w:t>
      </w:r>
      <w:proofErr w:type="spellStart"/>
      <w:r w:rsidRPr="005904BC">
        <w:rPr>
          <w:sz w:val="20"/>
          <w:szCs w:val="20"/>
        </w:rPr>
        <w:t>varlıklarınportföye</w:t>
      </w:r>
      <w:proofErr w:type="spellEnd"/>
      <w:r w:rsidRPr="005904BC">
        <w:rPr>
          <w:sz w:val="20"/>
          <w:szCs w:val="20"/>
        </w:rPr>
        <w:t xml:space="preserve"> alımı ve </w:t>
      </w:r>
      <w:proofErr w:type="gramStart"/>
      <w:r w:rsidRPr="005904BC">
        <w:rPr>
          <w:sz w:val="20"/>
          <w:szCs w:val="20"/>
        </w:rPr>
        <w:t>portföyden</w:t>
      </w:r>
      <w:proofErr w:type="gramEnd"/>
      <w:r w:rsidRPr="005904BC">
        <w:rPr>
          <w:sz w:val="20"/>
          <w:szCs w:val="20"/>
        </w:rPr>
        <w:t xml:space="preserve"> satımı sırasında varlık değerinin %3’ünü aşan komisyon ücreti ve benzeri giderler yapamazlar. Bu hüküm münhasıran altyapı yatırım ve hizmetlerinden oluşan </w:t>
      </w:r>
      <w:proofErr w:type="gramStart"/>
      <w:r w:rsidRPr="005904BC">
        <w:rPr>
          <w:sz w:val="20"/>
          <w:szCs w:val="20"/>
        </w:rPr>
        <w:t>portföyü</w:t>
      </w:r>
      <w:proofErr w:type="gramEnd"/>
      <w:r w:rsidRPr="005904BC">
        <w:rPr>
          <w:sz w:val="20"/>
          <w:szCs w:val="20"/>
        </w:rPr>
        <w:t> işletecek ortaklıklar için uygulanmaz.</w:t>
      </w:r>
    </w:p>
    <w:p w:rsidR="005904BC" w:rsidRPr="005904BC" w:rsidRDefault="005904BC" w:rsidP="005904BC">
      <w:pPr>
        <w:pStyle w:val="NormalWeb"/>
        <w:rPr>
          <w:sz w:val="20"/>
          <w:szCs w:val="20"/>
        </w:rPr>
      </w:pPr>
      <w:r w:rsidRPr="005904BC">
        <w:rPr>
          <w:sz w:val="20"/>
          <w:szCs w:val="20"/>
        </w:rPr>
        <w:t>r) Ortaklık portföyüne </w:t>
      </w:r>
      <w:proofErr w:type="gramStart"/>
      <w:r w:rsidRPr="005904BC">
        <w:rPr>
          <w:sz w:val="20"/>
          <w:szCs w:val="20"/>
        </w:rPr>
        <w:t>dahil</w:t>
      </w:r>
      <w:proofErr w:type="gramEnd"/>
      <w:r w:rsidRPr="005904BC">
        <w:rPr>
          <w:sz w:val="20"/>
          <w:szCs w:val="20"/>
        </w:rPr>
        <w:t> edilecek gayrimenkullerin tapudaki niteliğinin, fiili kullanım şeklinin ve portföye dahil edilme niteliğinin birbiriyle uyumlu olması esastır.</w:t>
      </w:r>
    </w:p>
    <w:p w:rsidR="005904BC" w:rsidRPr="005904BC" w:rsidRDefault="005904BC" w:rsidP="005904BC">
      <w:pPr>
        <w:pStyle w:val="NormalWeb"/>
        <w:rPr>
          <w:sz w:val="20"/>
          <w:szCs w:val="20"/>
        </w:rPr>
      </w:pPr>
      <w:r w:rsidRPr="005904BC">
        <w:rPr>
          <w:sz w:val="20"/>
          <w:szCs w:val="20"/>
        </w:rPr>
        <w:t>s) Münhasıran altyapı yatırım ve hizmetlerinden oluşan </w:t>
      </w:r>
      <w:proofErr w:type="gramStart"/>
      <w:r w:rsidRPr="005904BC">
        <w:rPr>
          <w:sz w:val="20"/>
          <w:szCs w:val="20"/>
        </w:rPr>
        <w:t>portföyü</w:t>
      </w:r>
      <w:proofErr w:type="gramEnd"/>
      <w:r w:rsidRPr="005904BC">
        <w:rPr>
          <w:sz w:val="20"/>
          <w:szCs w:val="20"/>
        </w:rPr>
        <w:t> işletecek ortaklıklarca ayrıca aşağıdaki esaslara uyulur;</w:t>
      </w:r>
    </w:p>
    <w:p w:rsidR="005904BC" w:rsidRPr="005904BC" w:rsidRDefault="005904BC" w:rsidP="005904BC">
      <w:pPr>
        <w:pStyle w:val="NormalWeb"/>
        <w:rPr>
          <w:sz w:val="20"/>
          <w:szCs w:val="20"/>
        </w:rPr>
      </w:pPr>
      <w:r w:rsidRPr="005904BC">
        <w:rPr>
          <w:sz w:val="20"/>
          <w:szCs w:val="20"/>
        </w:rPr>
        <w:t>1) Altyapı yatırım ve hizmetlerine ilişkin projelerin portföye </w:t>
      </w:r>
      <w:proofErr w:type="gramStart"/>
      <w:r w:rsidRPr="005904BC">
        <w:rPr>
          <w:sz w:val="20"/>
          <w:szCs w:val="20"/>
        </w:rPr>
        <w:t>dahil</w:t>
      </w:r>
      <w:proofErr w:type="gramEnd"/>
      <w:r w:rsidRPr="005904BC">
        <w:rPr>
          <w:sz w:val="20"/>
          <w:szCs w:val="20"/>
        </w:rPr>
        <w:t> edilmeden önce kapsamlı talep, nakit akımı ve risk analizlerini de içeren ekonomik ve mali fizibilite etütlerinin yapılmış ve ilgili mevzuata göre onaylanmış olması, bunlara ilaveten yatırımların değerlemelerinin de yapılmış olması gereklidir.</w:t>
      </w:r>
    </w:p>
    <w:p w:rsidR="005904BC" w:rsidRPr="005904BC" w:rsidRDefault="005904BC" w:rsidP="005904BC">
      <w:pPr>
        <w:pStyle w:val="NormalWeb"/>
        <w:rPr>
          <w:sz w:val="20"/>
          <w:szCs w:val="20"/>
        </w:rPr>
      </w:pPr>
      <w:proofErr w:type="gramStart"/>
      <w:r w:rsidRPr="005904BC">
        <w:rPr>
          <w:sz w:val="20"/>
          <w:szCs w:val="20"/>
        </w:rPr>
        <w:t xml:space="preserve">2) Gerçekleştirilecek veya yatırım yapılacak projelerin ilgili mevzuat uyarınca gerekli tüm izinlerinin alınmış, projesinin hazır ve onaylanmış, proje kapsamında ihtiyaç duyulan arazi ve zemin etütlerinin yapılmış, projenin çevresel ve kültürel varlıklara etkilerinin değerlendirilmiş ve gerekli önlemlerin alınmış, yasal gerekliliği olan tüm belgelerin tam ve doğru olarak mevcut olduğu hususlarının gayrimenkul değerleme kuruluşları veya ilgili kamu kurum ve kuruluşları tarafından tespit edilmiş olması gereklidir. </w:t>
      </w:r>
      <w:proofErr w:type="gramEnd"/>
    </w:p>
    <w:p w:rsidR="005904BC" w:rsidRPr="005904BC" w:rsidRDefault="005904BC" w:rsidP="005904BC">
      <w:pPr>
        <w:pStyle w:val="NormalWeb"/>
        <w:rPr>
          <w:sz w:val="20"/>
          <w:szCs w:val="20"/>
        </w:rPr>
      </w:pPr>
      <w:r w:rsidRPr="005904BC">
        <w:rPr>
          <w:sz w:val="20"/>
          <w:szCs w:val="20"/>
        </w:rPr>
        <w:t xml:space="preserve">3) Altyapı yatırım ve hizmetleri ile projelerinin genel kamu yararına hizmet eden ve sosyoekonomik </w:t>
      </w:r>
      <w:proofErr w:type="spellStart"/>
      <w:r w:rsidRPr="005904BC">
        <w:rPr>
          <w:sz w:val="20"/>
          <w:szCs w:val="20"/>
        </w:rPr>
        <w:t>faydalarıbulunan</w:t>
      </w:r>
      <w:proofErr w:type="spellEnd"/>
      <w:r w:rsidRPr="005904BC">
        <w:rPr>
          <w:sz w:val="20"/>
          <w:szCs w:val="20"/>
        </w:rPr>
        <w:t xml:space="preserve"> nitelik taşımalarına, uzun dönemli, kârlı ve öngörülebilir nakit akımlarına sahip olmalarına özen gösterilmesi gereklidir.</w:t>
      </w:r>
    </w:p>
    <w:p w:rsidR="005904BC" w:rsidRPr="005904BC" w:rsidRDefault="005904BC" w:rsidP="005904BC">
      <w:pPr>
        <w:pStyle w:val="NormalWeb"/>
        <w:rPr>
          <w:sz w:val="20"/>
          <w:szCs w:val="20"/>
        </w:rPr>
      </w:pPr>
      <w:r w:rsidRPr="005904BC">
        <w:rPr>
          <w:sz w:val="20"/>
          <w:szCs w:val="20"/>
        </w:rPr>
        <w:t>4) Özel mevzuat hükümleri saklı kalmak kaydıyla; özelleştirme, Yap-İşlet-Devret modeli veya diğer kamu-özel işbirliği modelleri kapsamındaki altyapı yatırım ve hizmetlerine yatırım yapılabilir.</w:t>
      </w:r>
    </w:p>
    <w:p w:rsidR="005904BC" w:rsidRPr="005904BC" w:rsidRDefault="005904BC" w:rsidP="005904BC">
      <w:pPr>
        <w:pStyle w:val="NormalWeb"/>
        <w:rPr>
          <w:sz w:val="20"/>
          <w:szCs w:val="20"/>
        </w:rPr>
      </w:pPr>
      <w:r w:rsidRPr="005904BC">
        <w:rPr>
          <w:sz w:val="20"/>
          <w:szCs w:val="20"/>
        </w:rPr>
        <w:lastRenderedPageBreak/>
        <w:t>5) Özel mevzuat hükümleri saklı kalmak kaydıyla; merkezi yönetim kapsamındaki kamu idareleri, sosyal güvenlik kurumları, mahalli idareler ve kamu iktisadi teşebbüsü tarafından yürütülen altyapı yatırım ve hizmetlerine yatırım yapılabilir.</w:t>
      </w:r>
    </w:p>
    <w:p w:rsidR="005904BC" w:rsidRPr="005904BC" w:rsidRDefault="005904BC" w:rsidP="005904BC">
      <w:pPr>
        <w:pStyle w:val="NormalWeb"/>
        <w:rPr>
          <w:sz w:val="20"/>
          <w:szCs w:val="20"/>
        </w:rPr>
      </w:pPr>
      <w:r w:rsidRPr="005904BC">
        <w:rPr>
          <w:sz w:val="20"/>
          <w:szCs w:val="20"/>
        </w:rPr>
        <w:t>6) Yurtdışında gerçekleştirilen altyapı yatırım ve hizmetleri ile bunlara ilişkin projelere yatırım yapılamaz.</w:t>
      </w:r>
    </w:p>
    <w:p w:rsidR="005904BC" w:rsidRPr="005904BC" w:rsidRDefault="005904BC" w:rsidP="005904BC">
      <w:pPr>
        <w:pStyle w:val="NormalWeb"/>
        <w:rPr>
          <w:sz w:val="20"/>
          <w:szCs w:val="20"/>
        </w:rPr>
      </w:pPr>
      <w:r w:rsidRPr="005904BC">
        <w:rPr>
          <w:sz w:val="20"/>
          <w:szCs w:val="20"/>
        </w:rPr>
        <w:t>7) Altyapı yatırımı veya hizmeti kapsamındaki tesislerin işletmeciliğini yürütmek üzere işletmeci şirket kurulabilir, kurulmuş olanlara iştirak edilebilir.</w:t>
      </w:r>
    </w:p>
    <w:p w:rsidR="005904BC" w:rsidRPr="005904BC" w:rsidRDefault="005904BC" w:rsidP="005904BC">
      <w:pPr>
        <w:pStyle w:val="NormalWeb"/>
        <w:rPr>
          <w:sz w:val="20"/>
          <w:szCs w:val="20"/>
        </w:rPr>
      </w:pPr>
      <w:r w:rsidRPr="005904BC">
        <w:rPr>
          <w:sz w:val="20"/>
          <w:szCs w:val="20"/>
        </w:rPr>
        <w:t>8) Ortak olmak veya borçlanma aracı satın almak suretiyle altyapı şirketlerine yatırım yapılabilir.</w:t>
      </w:r>
    </w:p>
    <w:p w:rsidR="005904BC" w:rsidRPr="005904BC" w:rsidRDefault="005904BC" w:rsidP="005904BC">
      <w:pPr>
        <w:pStyle w:val="NormalWeb"/>
        <w:rPr>
          <w:sz w:val="20"/>
          <w:szCs w:val="20"/>
        </w:rPr>
      </w:pPr>
      <w:r w:rsidRPr="005904BC">
        <w:rPr>
          <w:sz w:val="20"/>
          <w:szCs w:val="20"/>
        </w:rPr>
        <w:t xml:space="preserve">9) Ortak olmak veya borçlanma aracı satın almak suretiyle münhasıran altyapı yatırım ve hizmetlerinden </w:t>
      </w:r>
      <w:proofErr w:type="spellStart"/>
      <w:r w:rsidRPr="005904BC">
        <w:rPr>
          <w:sz w:val="20"/>
          <w:szCs w:val="20"/>
        </w:rPr>
        <w:t>oluşanportföyü</w:t>
      </w:r>
      <w:proofErr w:type="spellEnd"/>
      <w:r w:rsidRPr="005904BC">
        <w:rPr>
          <w:sz w:val="20"/>
          <w:szCs w:val="20"/>
        </w:rPr>
        <w:t xml:space="preserve"> işleten diğer ortaklıklara yatırım yapılabilir.” </w:t>
      </w:r>
    </w:p>
    <w:p w:rsidR="005904BC" w:rsidRPr="005904BC" w:rsidRDefault="005904BC" w:rsidP="005904BC">
      <w:pPr>
        <w:pStyle w:val="NormalWeb"/>
        <w:rPr>
          <w:sz w:val="20"/>
          <w:szCs w:val="20"/>
        </w:rPr>
      </w:pPr>
      <w:r w:rsidRPr="005904BC">
        <w:rPr>
          <w:rStyle w:val="Gl"/>
          <w:sz w:val="20"/>
          <w:szCs w:val="20"/>
        </w:rPr>
        <w:t>MADDE 21 –</w:t>
      </w:r>
      <w:r w:rsidRPr="005904BC">
        <w:rPr>
          <w:sz w:val="20"/>
          <w:szCs w:val="20"/>
        </w:rPr>
        <w:t> Aynı Tebliğin 23 üncü maddesinin birinci fıkrasının (a), (c) ve (ç) bentleri aşağıdaki şekilde değiştirilmiştir.</w:t>
      </w:r>
    </w:p>
    <w:p w:rsidR="005904BC" w:rsidRPr="005904BC" w:rsidRDefault="005904BC" w:rsidP="005904BC">
      <w:pPr>
        <w:pStyle w:val="NormalWeb"/>
        <w:rPr>
          <w:sz w:val="20"/>
          <w:szCs w:val="20"/>
        </w:rPr>
      </w:pPr>
      <w:r w:rsidRPr="005904BC">
        <w:rPr>
          <w:sz w:val="20"/>
          <w:szCs w:val="20"/>
        </w:rPr>
        <w:t xml:space="preserve">“a) 5411 sayılı Bankacılık Kanununda tanımlandığı üzere mevduat veya katılım fonu toplayamazlar ve mevduat veya katılım fonu toplama sonucunu verecek iş ve işlemler yapamazlar.” </w:t>
      </w:r>
    </w:p>
    <w:p w:rsidR="005904BC" w:rsidRPr="005904BC" w:rsidRDefault="005904BC" w:rsidP="005904BC">
      <w:pPr>
        <w:pStyle w:val="NormalWeb"/>
        <w:rPr>
          <w:sz w:val="20"/>
          <w:szCs w:val="20"/>
        </w:rPr>
      </w:pPr>
      <w:r w:rsidRPr="005904BC">
        <w:rPr>
          <w:sz w:val="20"/>
          <w:szCs w:val="20"/>
        </w:rPr>
        <w:t>“c) Hiçbir şekilde gayrimenkullerin, altyapı yatırım ve hizmetlerinin inşaat işlerini kendileri üstlenemez, bu amaçla personel ve </w:t>
      </w:r>
      <w:proofErr w:type="gramStart"/>
      <w:r w:rsidRPr="005904BC">
        <w:rPr>
          <w:sz w:val="20"/>
          <w:szCs w:val="20"/>
        </w:rPr>
        <w:t>ekipman</w:t>
      </w:r>
      <w:proofErr w:type="gramEnd"/>
      <w:r w:rsidRPr="005904BC">
        <w:rPr>
          <w:sz w:val="20"/>
          <w:szCs w:val="20"/>
        </w:rPr>
        <w:t> edinemezler. Yürütülen projelerin kontrol işleri </w:t>
      </w:r>
      <w:proofErr w:type="gramStart"/>
      <w:r w:rsidRPr="005904BC">
        <w:rPr>
          <w:sz w:val="20"/>
          <w:szCs w:val="20"/>
        </w:rPr>
        <w:t>dahili</w:t>
      </w:r>
      <w:proofErr w:type="gramEnd"/>
      <w:r w:rsidRPr="005904BC">
        <w:rPr>
          <w:sz w:val="20"/>
          <w:szCs w:val="20"/>
        </w:rPr>
        <w:t xml:space="preserve"> olarak yürütülecekse bu amaçla istihdam edilen personel kapsam dışındadır.” </w:t>
      </w:r>
    </w:p>
    <w:p w:rsidR="005904BC" w:rsidRPr="005904BC" w:rsidRDefault="005904BC" w:rsidP="005904BC">
      <w:pPr>
        <w:pStyle w:val="NormalWeb"/>
        <w:rPr>
          <w:sz w:val="20"/>
          <w:szCs w:val="20"/>
        </w:rPr>
      </w:pPr>
      <w:r w:rsidRPr="005904BC">
        <w:rPr>
          <w:sz w:val="20"/>
          <w:szCs w:val="20"/>
        </w:rPr>
        <w:t>“ç) Hiçbir surette otel, hastane, alışveriş merkezi, iş merkezi, ticari parklar, ticari depolar, konut siteleri, süper marketler ve bunlara benzer nitelikteki gayrimenkulleri ticari maksatla işletemez ve bu amaçla personel istihdam edemezler. Ancak, 27 </w:t>
      </w:r>
      <w:proofErr w:type="spellStart"/>
      <w:r w:rsidRPr="005904BC">
        <w:rPr>
          <w:sz w:val="20"/>
          <w:szCs w:val="20"/>
        </w:rPr>
        <w:t>nci</w:t>
      </w:r>
      <w:proofErr w:type="spellEnd"/>
      <w:r w:rsidRPr="005904BC">
        <w:rPr>
          <w:sz w:val="20"/>
          <w:szCs w:val="20"/>
        </w:rPr>
        <w:t xml:space="preserve"> maddenin ikinci, üçüncü ve dördüncü fıkraları kapsamındaki faaliyetler ve bu faaliyetler nedeniyle istihdam edilen personel bu bent kapsamında değerlendirilmez.” </w:t>
      </w:r>
    </w:p>
    <w:p w:rsidR="005904BC" w:rsidRPr="005904BC" w:rsidRDefault="005904BC" w:rsidP="005904BC">
      <w:pPr>
        <w:pStyle w:val="NormalWeb"/>
        <w:rPr>
          <w:sz w:val="20"/>
          <w:szCs w:val="20"/>
        </w:rPr>
      </w:pPr>
      <w:r w:rsidRPr="005904BC">
        <w:rPr>
          <w:rStyle w:val="Gl"/>
          <w:sz w:val="20"/>
          <w:szCs w:val="20"/>
        </w:rPr>
        <w:t>MADDE 22 –</w:t>
      </w:r>
      <w:r w:rsidRPr="005904BC">
        <w:rPr>
          <w:sz w:val="20"/>
          <w:szCs w:val="20"/>
        </w:rPr>
        <w:t> Aynı Tebliğin 24 üncü maddesi aşağıdaki şekilde değiştirilmiştir.</w:t>
      </w:r>
    </w:p>
    <w:p w:rsidR="005904BC" w:rsidRPr="005904BC" w:rsidRDefault="005904BC" w:rsidP="005904BC">
      <w:pPr>
        <w:pStyle w:val="NormalWeb"/>
        <w:rPr>
          <w:sz w:val="20"/>
          <w:szCs w:val="20"/>
        </w:rPr>
      </w:pPr>
      <w:r w:rsidRPr="005904BC">
        <w:rPr>
          <w:rStyle w:val="Gl"/>
          <w:sz w:val="20"/>
          <w:szCs w:val="20"/>
        </w:rPr>
        <w:t>“MADDE 24 –</w:t>
      </w:r>
      <w:r w:rsidRPr="005904BC">
        <w:rPr>
          <w:sz w:val="20"/>
          <w:szCs w:val="20"/>
        </w:rPr>
        <w:t> (1) Ortaklıklar;</w:t>
      </w:r>
    </w:p>
    <w:p w:rsidR="005904BC" w:rsidRPr="005904BC" w:rsidRDefault="005904BC" w:rsidP="005904BC">
      <w:pPr>
        <w:pStyle w:val="NormalWeb"/>
        <w:rPr>
          <w:sz w:val="20"/>
          <w:szCs w:val="20"/>
        </w:rPr>
      </w:pPr>
      <w:r w:rsidRPr="005904BC">
        <w:rPr>
          <w:sz w:val="20"/>
          <w:szCs w:val="20"/>
        </w:rPr>
        <w:t>a) Gayrimenkullere, gayrimenkul projelerine ve gayrimenkule dayalı haklara aktif toplamının en az %51’i oranında yatırım yapmak zorundadırlar. Şu kadar ki münhasıran altyapı yatırım ve hizmetlerinden oluşan </w:t>
      </w:r>
      <w:proofErr w:type="gramStart"/>
      <w:r w:rsidRPr="005904BC">
        <w:rPr>
          <w:sz w:val="20"/>
          <w:szCs w:val="20"/>
        </w:rPr>
        <w:t>portföyü</w:t>
      </w:r>
      <w:proofErr w:type="gramEnd"/>
      <w:r w:rsidRPr="005904BC">
        <w:rPr>
          <w:sz w:val="20"/>
          <w:szCs w:val="20"/>
        </w:rPr>
        <w:t> işletecek ortaklıkların aktif toplamının en az %75’inin bu varlıklardan oluşması zorunludur. %75 oranının hesaplanmasında 22 </w:t>
      </w:r>
      <w:proofErr w:type="spellStart"/>
      <w:r w:rsidRPr="005904BC">
        <w:rPr>
          <w:sz w:val="20"/>
          <w:szCs w:val="20"/>
        </w:rPr>
        <w:t>ncimaddenin</w:t>
      </w:r>
      <w:proofErr w:type="spellEnd"/>
      <w:r w:rsidRPr="005904BC">
        <w:rPr>
          <w:sz w:val="20"/>
          <w:szCs w:val="20"/>
        </w:rPr>
        <w:t xml:space="preserve"> birinci fıkrasının (s) bendinin (8) ve (9) numaralı alt bentlerinde yer alan varlıklar da dikkate alınır.</w:t>
      </w:r>
    </w:p>
    <w:p w:rsidR="005904BC" w:rsidRPr="005904BC" w:rsidRDefault="005904BC" w:rsidP="005904BC">
      <w:pPr>
        <w:pStyle w:val="NormalWeb"/>
        <w:rPr>
          <w:sz w:val="20"/>
          <w:szCs w:val="20"/>
        </w:rPr>
      </w:pPr>
      <w:r w:rsidRPr="005904BC">
        <w:rPr>
          <w:sz w:val="20"/>
          <w:szCs w:val="20"/>
        </w:rPr>
        <w:t>b) 22 </w:t>
      </w:r>
      <w:proofErr w:type="spellStart"/>
      <w:r w:rsidRPr="005904BC">
        <w:rPr>
          <w:sz w:val="20"/>
          <w:szCs w:val="20"/>
        </w:rPr>
        <w:t>nci</w:t>
      </w:r>
      <w:proofErr w:type="spellEnd"/>
      <w:r w:rsidRPr="005904BC">
        <w:rPr>
          <w:sz w:val="20"/>
          <w:szCs w:val="20"/>
        </w:rPr>
        <w:t> maddenin birinci fıkrasının (k) bendinde yer verilen varlıklar ile 28 inci maddede belirtilen iştiraklerin tamamına, münhasıran altyapı yatırım ve hizmetlerinden oluşan </w:t>
      </w:r>
      <w:proofErr w:type="gramStart"/>
      <w:r w:rsidRPr="005904BC">
        <w:rPr>
          <w:sz w:val="20"/>
          <w:szCs w:val="20"/>
        </w:rPr>
        <w:t>portföyü</w:t>
      </w:r>
      <w:proofErr w:type="gramEnd"/>
      <w:r w:rsidRPr="005904BC">
        <w:rPr>
          <w:sz w:val="20"/>
          <w:szCs w:val="20"/>
        </w:rPr>
        <w:t> işletecek ortaklıklarda en fazla aktif toplamının %25’i, diğer ortaklıklarda ise en fazla aktif toplamının %49’u oranında, bu varlıklar içerisinde yer alan yatırım amaçlı Türk Lirası cinsinden vadeli mevduat veya katılma hesabı, yabancı para cinsinden vadeli ve vadesiz mevduat veya özel cari ve katılma hesabına ise en fazla aktif toplamının %10’u oranında yatırım yapabilirler. Portföye alınan varlıkların veya projelerin maliyetlerine ilişkin bedel ödemeleri belirli </w:t>
      </w:r>
      <w:proofErr w:type="spellStart"/>
      <w:r w:rsidRPr="005904BC">
        <w:rPr>
          <w:sz w:val="20"/>
          <w:szCs w:val="20"/>
        </w:rPr>
        <w:t>hakedişler</w:t>
      </w:r>
      <w:proofErr w:type="spellEnd"/>
      <w:r w:rsidRPr="005904BC">
        <w:rPr>
          <w:sz w:val="20"/>
          <w:szCs w:val="20"/>
        </w:rPr>
        <w:t> karşılığında veya taksitler halinde yapılıyorsa, bunlara karşılık gelen nakit fazlaları da 22 </w:t>
      </w:r>
      <w:proofErr w:type="spellStart"/>
      <w:r w:rsidRPr="005904BC">
        <w:rPr>
          <w:sz w:val="20"/>
          <w:szCs w:val="20"/>
        </w:rPr>
        <w:t>nci</w:t>
      </w:r>
      <w:proofErr w:type="spellEnd"/>
      <w:r w:rsidRPr="005904BC">
        <w:rPr>
          <w:sz w:val="20"/>
          <w:szCs w:val="20"/>
        </w:rPr>
        <w:t> maddenin birinci fıkrasının (k) bendinde yer verilen varlıklar aracılığıyla değerlendirilebilir. Finansal tabloların hazırlandığı yıl ile takip eden iki yıl içerisinde bu kapsamda yapılacak harcamaların tutarı, birinci fıkranın (a) bendinde yazılı oranların hesaplanmasında, portföyde yer alan 22 </w:t>
      </w:r>
      <w:proofErr w:type="spellStart"/>
      <w:r w:rsidRPr="005904BC">
        <w:rPr>
          <w:sz w:val="20"/>
          <w:szCs w:val="20"/>
        </w:rPr>
        <w:t>nci</w:t>
      </w:r>
      <w:proofErr w:type="spellEnd"/>
      <w:r w:rsidRPr="005904BC">
        <w:rPr>
          <w:sz w:val="20"/>
          <w:szCs w:val="20"/>
        </w:rPr>
        <w:t> maddenin birinci fıkrasının (k) bendinde yer verilen varlıkların toplam tutarından indirilir ve birinci fıkranın (a) bendi kapsamında yapılacak hesaplamaya </w:t>
      </w:r>
      <w:proofErr w:type="gramStart"/>
      <w:r w:rsidRPr="005904BC">
        <w:rPr>
          <w:sz w:val="20"/>
          <w:szCs w:val="20"/>
        </w:rPr>
        <w:t>dahil</w:t>
      </w:r>
      <w:proofErr w:type="gramEnd"/>
      <w:r w:rsidRPr="005904BC">
        <w:rPr>
          <w:sz w:val="20"/>
          <w:szCs w:val="20"/>
        </w:rPr>
        <w:t> edilir. Ancak, finansal tablonun hazırlandığı tarihten önceki dönemlere ilişkin planlanan harcamalardan gerçekleştirilmemiş olanlar, indirim konusu yapılamaz. Belirtilen indirimin yapılabilmesi için projenin finansal tablolara </w:t>
      </w:r>
      <w:proofErr w:type="gramStart"/>
      <w:r w:rsidRPr="005904BC">
        <w:rPr>
          <w:sz w:val="20"/>
          <w:szCs w:val="20"/>
        </w:rPr>
        <w:t>dahil</w:t>
      </w:r>
      <w:proofErr w:type="gramEnd"/>
      <w:r w:rsidRPr="005904BC">
        <w:rPr>
          <w:sz w:val="20"/>
          <w:szCs w:val="20"/>
        </w:rPr>
        <w:t> edilmesinden önce, projenin tamamlanmasına kadar olan süre için planlanan yıllık harcama tutarları Kurula bildirilir. Harcamalara ilişkin planlarda yapılan değişiklikler nedeniyle, söz konusu oranların hesaplanmasında dikkate alınmak üzere önceden Kurula bildirilmiş olan tutarın değiştirilmesi Kurul iznine tabidir.</w:t>
      </w:r>
    </w:p>
    <w:p w:rsidR="005904BC" w:rsidRPr="005904BC" w:rsidRDefault="005904BC" w:rsidP="005904BC">
      <w:pPr>
        <w:pStyle w:val="NormalWeb"/>
        <w:rPr>
          <w:sz w:val="20"/>
          <w:szCs w:val="20"/>
        </w:rPr>
      </w:pPr>
      <w:r w:rsidRPr="005904BC">
        <w:rPr>
          <w:sz w:val="20"/>
          <w:szCs w:val="20"/>
        </w:rPr>
        <w:lastRenderedPageBreak/>
        <w:t>c) Portföyünde bulunan ve alımından itibaren beş yıl geçmesine rağmen üzerlerinde proje geliştirilmesine yönelik herhangi bir tasarrufta bulunulmayan arsa ve arazilerin oranı aktif toplamının %20’sini aşamaz. Gayrimenkul yatırım ortaklığına dönüşen ortaklıkların sahip olduğu bu nitelikteki arsa ve araziler için söz konusu süre dönüşüme ilişkin esas sözleşme değişikliğinin ticaret siciline tescil edildiği tarihten itibaren başlar.</w:t>
      </w:r>
    </w:p>
    <w:p w:rsidR="005904BC" w:rsidRPr="005904BC" w:rsidRDefault="005904BC" w:rsidP="005904BC">
      <w:pPr>
        <w:pStyle w:val="NormalWeb"/>
        <w:rPr>
          <w:sz w:val="20"/>
          <w:szCs w:val="20"/>
        </w:rPr>
      </w:pPr>
      <w:r w:rsidRPr="005904BC">
        <w:rPr>
          <w:sz w:val="20"/>
          <w:szCs w:val="20"/>
        </w:rPr>
        <w:t xml:space="preserve">ç) Ortaklıkların hesap dönemi sonunda hazırlayıp kamuya açıkladıkları finansal tablolarına göre birinci fıkranın (a) bendinde tanımlanan asgari oranın sağlanamaması durumunda, ortaklığın talebi üzerine Kurulca uygun görülmesi halinde söz konusu oranın sağlanması için aykırılığın oluştuğu hesap döneminin sonundan itibaren ortaklıklara bir yıl süre </w:t>
      </w:r>
      <w:proofErr w:type="gramStart"/>
      <w:r w:rsidRPr="005904BC">
        <w:rPr>
          <w:sz w:val="20"/>
          <w:szCs w:val="20"/>
        </w:rPr>
        <w:t>verilebilir.Kurulca</w:t>
      </w:r>
      <w:proofErr w:type="gramEnd"/>
      <w:r w:rsidRPr="005904BC">
        <w:rPr>
          <w:sz w:val="20"/>
          <w:szCs w:val="20"/>
        </w:rPr>
        <w:t xml:space="preserve"> verilen sürenin sonunda da asgari oranın sağlanamaması halinde, sürenin bitiminden itibaren en geç üç ay içinde ortaklıkların esas sözleşme hükümlerini gayrimenkul yatırım ortaklığı faaliyetini kapsamayacak şekilde değiştirmek üzere Kurula başvurmaları gerekmekte olup bu değişikliklerin yapılmaması halinde gayrimenkul yatırım ortaklığı </w:t>
      </w:r>
      <w:proofErr w:type="spellStart"/>
      <w:r w:rsidRPr="005904BC">
        <w:rPr>
          <w:sz w:val="20"/>
          <w:szCs w:val="20"/>
        </w:rPr>
        <w:t>TTK’nın</w:t>
      </w:r>
      <w:proofErr w:type="spellEnd"/>
      <w:r w:rsidRPr="005904BC">
        <w:rPr>
          <w:sz w:val="20"/>
          <w:szCs w:val="20"/>
        </w:rPr>
        <w:t> 529 uncu maddesinin birinci fıkrasının (b) ve (c) bentleri hükümleri gereğince sona ermiş sayılır. Şu kadar ki, münhasıran altyapı yatırım ve hizmetlerinden oluşan </w:t>
      </w:r>
      <w:proofErr w:type="gramStart"/>
      <w:r w:rsidRPr="005904BC">
        <w:rPr>
          <w:sz w:val="20"/>
          <w:szCs w:val="20"/>
        </w:rPr>
        <w:t>portföyü</w:t>
      </w:r>
      <w:proofErr w:type="gramEnd"/>
      <w:r w:rsidRPr="005904BC">
        <w:rPr>
          <w:sz w:val="20"/>
          <w:szCs w:val="20"/>
        </w:rPr>
        <w:t xml:space="preserve"> işletecek ortaklıklarda birinci fıkranın (a) bendinde belirtilen %75’lik oranın altyapı yatırımlarının tamamlanması, imtiyaz süresinin veya kullanım hakkının dolması gibi nedenlerle </w:t>
      </w:r>
      <w:proofErr w:type="spellStart"/>
      <w:r w:rsidRPr="005904BC">
        <w:rPr>
          <w:sz w:val="20"/>
          <w:szCs w:val="20"/>
        </w:rPr>
        <w:t>sağlanamamasıdurumunda</w:t>
      </w:r>
      <w:proofErr w:type="spellEnd"/>
      <w:r w:rsidRPr="005904BC">
        <w:rPr>
          <w:sz w:val="20"/>
          <w:szCs w:val="20"/>
        </w:rPr>
        <w:t xml:space="preserve">, ortaklığın talebi üzerine Kurulca uygun görülmesi halinde söz konusu oranın sağlanması için olayın gerçekleştiği hesap dönemi sonundan itibaren iki yıl süre verilebilir. Ancak bu süre %75’lik oranın sağlanamadığı yıl </w:t>
      </w:r>
      <w:proofErr w:type="spellStart"/>
      <w:r w:rsidRPr="005904BC">
        <w:rPr>
          <w:sz w:val="20"/>
          <w:szCs w:val="20"/>
        </w:rPr>
        <w:t>dadahil</w:t>
      </w:r>
      <w:proofErr w:type="spellEnd"/>
      <w:r w:rsidRPr="005904BC">
        <w:rPr>
          <w:sz w:val="20"/>
          <w:szCs w:val="20"/>
        </w:rPr>
        <w:t> olmak üzere son 5 yıl içinde en fazla bir defa kullanılabilir. </w:t>
      </w:r>
      <w:proofErr w:type="gramStart"/>
      <w:r w:rsidRPr="005904BC">
        <w:rPr>
          <w:sz w:val="20"/>
          <w:szCs w:val="20"/>
        </w:rPr>
        <w:t>Kurulca verilen sürenin sonunda da asgari %75’lik oranın sağlanamaması halinde, sürenin bitiminden itibaren en geç üç ay içinde ortaklıkların esas sözleşme hükümlerini gayrimenkul yatırım ortaklığı faaliyetini kapsamayacak şekilde değiştirmek üzere Kurula başvurmaları gerekmekte olup bu değişikliklerin yapılmaması halinde ortaklık </w:t>
      </w:r>
      <w:proofErr w:type="spellStart"/>
      <w:r w:rsidRPr="005904BC">
        <w:rPr>
          <w:sz w:val="20"/>
          <w:szCs w:val="20"/>
        </w:rPr>
        <w:t>TTK’nın</w:t>
      </w:r>
      <w:proofErr w:type="spellEnd"/>
      <w:r w:rsidRPr="005904BC">
        <w:rPr>
          <w:sz w:val="20"/>
          <w:szCs w:val="20"/>
        </w:rPr>
        <w:t> 529 uncu maddesinin birinci fıkrasının (b) ve (c) bentleri hükümleri gereğince sona ermiş sayılır.</w:t>
      </w:r>
      <w:proofErr w:type="gramEnd"/>
    </w:p>
    <w:p w:rsidR="005904BC" w:rsidRPr="005904BC" w:rsidRDefault="005904BC" w:rsidP="005904BC">
      <w:pPr>
        <w:pStyle w:val="NormalWeb"/>
        <w:rPr>
          <w:sz w:val="20"/>
          <w:szCs w:val="20"/>
        </w:rPr>
      </w:pPr>
      <w:r w:rsidRPr="005904BC">
        <w:rPr>
          <w:sz w:val="20"/>
          <w:szCs w:val="20"/>
        </w:rPr>
        <w:t>d) Münhasıran altyapı yatırım ve hizmetlerinden oluşan </w:t>
      </w:r>
      <w:proofErr w:type="gramStart"/>
      <w:r w:rsidRPr="005904BC">
        <w:rPr>
          <w:sz w:val="20"/>
          <w:szCs w:val="20"/>
        </w:rPr>
        <w:t>portföyü</w:t>
      </w:r>
      <w:proofErr w:type="gramEnd"/>
      <w:r w:rsidRPr="005904BC">
        <w:rPr>
          <w:sz w:val="20"/>
          <w:szCs w:val="20"/>
        </w:rPr>
        <w:t xml:space="preserve"> işletecek ortaklıklar dışında kalan ortaklıklar 22nci maddenin birinci fıkrasının (ı) bendinde belirtilen yabancı gayrimenkuller ve yabancı sermaye piyasası araçları ile 28 inci maddenin birinci fıkrasının (ç) bendinde belirtilen iştiraklere aktif toplamının en fazla %49’u oranında yatırım yapabilirler.” </w:t>
      </w:r>
    </w:p>
    <w:p w:rsidR="005904BC" w:rsidRPr="005904BC" w:rsidRDefault="005904BC" w:rsidP="005904BC">
      <w:pPr>
        <w:pStyle w:val="NormalWeb"/>
        <w:rPr>
          <w:sz w:val="20"/>
          <w:szCs w:val="20"/>
        </w:rPr>
      </w:pPr>
      <w:r w:rsidRPr="005904BC">
        <w:rPr>
          <w:rStyle w:val="Gl"/>
          <w:sz w:val="20"/>
          <w:szCs w:val="20"/>
        </w:rPr>
        <w:t>MADDE 23 –</w:t>
      </w:r>
      <w:r w:rsidRPr="005904BC">
        <w:rPr>
          <w:sz w:val="20"/>
          <w:szCs w:val="20"/>
        </w:rPr>
        <w:t> Aynı Tebliğin 25 inci maddesinin birinci, ikinci ve üçüncü fıkraları aşağıdaki şekilde değiştirilmiştir.</w:t>
      </w:r>
    </w:p>
    <w:p w:rsidR="005904BC" w:rsidRPr="005904BC" w:rsidRDefault="005904BC" w:rsidP="005904BC">
      <w:pPr>
        <w:pStyle w:val="NormalWeb"/>
        <w:rPr>
          <w:sz w:val="20"/>
          <w:szCs w:val="20"/>
        </w:rPr>
      </w:pPr>
      <w:r w:rsidRPr="005904BC">
        <w:rPr>
          <w:sz w:val="20"/>
          <w:szCs w:val="20"/>
        </w:rPr>
        <w:t>“(1) Ortaklıklar, </w:t>
      </w:r>
      <w:proofErr w:type="gramStart"/>
      <w:r w:rsidRPr="005904BC">
        <w:rPr>
          <w:sz w:val="20"/>
          <w:szCs w:val="20"/>
        </w:rPr>
        <w:t>portföylerini</w:t>
      </w:r>
      <w:proofErr w:type="gramEnd"/>
      <w:r w:rsidRPr="005904BC">
        <w:rPr>
          <w:sz w:val="20"/>
          <w:szCs w:val="20"/>
        </w:rPr>
        <w:t> yeterli sayıda personel istihdam etmek suretiyle kendileri yönetirler. Proje geliştirme ve kontrol hizmetleri de </w:t>
      </w:r>
      <w:proofErr w:type="gramStart"/>
      <w:r w:rsidRPr="005904BC">
        <w:rPr>
          <w:sz w:val="20"/>
          <w:szCs w:val="20"/>
        </w:rPr>
        <w:t>dahil</w:t>
      </w:r>
      <w:proofErr w:type="gramEnd"/>
      <w:r w:rsidRPr="005904BC">
        <w:rPr>
          <w:sz w:val="20"/>
          <w:szCs w:val="20"/>
        </w:rPr>
        <w:t xml:space="preserve"> olmak üzere ortaklık portföyünün geliştirilmesi ve alternatif imkanların araştırılmasına yönelik danışmanlık hizmetleri ortaklık dışından, bu işlerde uzmanlaşmış şirketlerden alınabilir.” </w:t>
      </w:r>
    </w:p>
    <w:p w:rsidR="005904BC" w:rsidRPr="005904BC" w:rsidRDefault="005904BC" w:rsidP="005904BC">
      <w:pPr>
        <w:pStyle w:val="NormalWeb"/>
        <w:rPr>
          <w:sz w:val="20"/>
          <w:szCs w:val="20"/>
        </w:rPr>
      </w:pPr>
      <w:r w:rsidRPr="005904BC">
        <w:rPr>
          <w:sz w:val="20"/>
          <w:szCs w:val="20"/>
        </w:rPr>
        <w:t>“(2) Ortaklık tarafından </w:t>
      </w:r>
      <w:proofErr w:type="gramStart"/>
      <w:r w:rsidRPr="005904BC">
        <w:rPr>
          <w:sz w:val="20"/>
          <w:szCs w:val="20"/>
        </w:rPr>
        <w:t>portföy</w:t>
      </w:r>
      <w:proofErr w:type="gramEnd"/>
      <w:r w:rsidRPr="005904BC">
        <w:rPr>
          <w:sz w:val="20"/>
          <w:szCs w:val="20"/>
        </w:rPr>
        <w:t xml:space="preserve"> ile ilgili olarak, ilişkili taraflardan danışmanlık hizmeti alınması halinde, bu hizmetler kapsamında danışman şirketlere ödenecek komisyon ve ücretler için Kurulca üst sınır belirlenebilir. Danışman şirket ile işletmeci şirket sıfatı aynı kişide birleşemez.” </w:t>
      </w:r>
    </w:p>
    <w:p w:rsidR="005904BC" w:rsidRPr="005904BC" w:rsidRDefault="005904BC" w:rsidP="005904BC">
      <w:pPr>
        <w:pStyle w:val="NormalWeb"/>
        <w:rPr>
          <w:sz w:val="20"/>
          <w:szCs w:val="20"/>
        </w:rPr>
      </w:pPr>
      <w:r w:rsidRPr="005904BC">
        <w:rPr>
          <w:sz w:val="20"/>
          <w:szCs w:val="20"/>
        </w:rPr>
        <w:t>“(3) Aktif toplamının %10’unu aşması halinde ortaklıklar; portföylerinin para ve sermaye piyasası araçlarından oluşan kısmını, bünyesinde Kurulun lisanslama düzenlemeleri çerçevesinde lisans belgesine sahip yeterli sayıda </w:t>
      </w:r>
      <w:proofErr w:type="spellStart"/>
      <w:r w:rsidRPr="005904BC">
        <w:rPr>
          <w:sz w:val="20"/>
          <w:szCs w:val="20"/>
        </w:rPr>
        <w:t>portföyyöneticisi</w:t>
      </w:r>
      <w:proofErr w:type="spellEnd"/>
      <w:r w:rsidRPr="005904BC">
        <w:rPr>
          <w:sz w:val="20"/>
          <w:szCs w:val="20"/>
        </w:rPr>
        <w:t xml:space="preserve"> istihdam etmek suretiyle kendileri yönetebilecekleri gibi, esas sözleşmelerinde hüküm bulunmak ve Kurulun onayını almak kaydıyla ve imzalanacak bir sözleşme kapsamında, </w:t>
      </w:r>
      <w:proofErr w:type="gramStart"/>
      <w:r w:rsidRPr="005904BC">
        <w:rPr>
          <w:sz w:val="20"/>
          <w:szCs w:val="20"/>
        </w:rPr>
        <w:t>portföy</w:t>
      </w:r>
      <w:proofErr w:type="gramEnd"/>
      <w:r w:rsidRPr="005904BC">
        <w:rPr>
          <w:sz w:val="20"/>
          <w:szCs w:val="20"/>
        </w:rPr>
        <w:t xml:space="preserve"> yönetim şirketlerinden portföy yönetimi veya yatırım danışmanlığı hizmeti alabilirler. Bu durumlarda Kurulun </w:t>
      </w:r>
      <w:proofErr w:type="gramStart"/>
      <w:r w:rsidRPr="005904BC">
        <w:rPr>
          <w:sz w:val="20"/>
          <w:szCs w:val="20"/>
        </w:rPr>
        <w:t>portföy</w:t>
      </w:r>
      <w:proofErr w:type="gramEnd"/>
      <w:r w:rsidRPr="005904BC">
        <w:rPr>
          <w:sz w:val="20"/>
          <w:szCs w:val="20"/>
        </w:rPr>
        <w:t xml:space="preserve"> yöneticiliğine ve yatırım danışmanlığına ilişkin düzenlemelerine uyulması zorunludur.” </w:t>
      </w:r>
    </w:p>
    <w:p w:rsidR="005904BC" w:rsidRPr="005904BC" w:rsidRDefault="005904BC" w:rsidP="005904BC">
      <w:pPr>
        <w:pStyle w:val="NormalWeb"/>
        <w:rPr>
          <w:sz w:val="20"/>
          <w:szCs w:val="20"/>
        </w:rPr>
      </w:pPr>
      <w:r w:rsidRPr="005904BC">
        <w:rPr>
          <w:rStyle w:val="Gl"/>
          <w:sz w:val="20"/>
          <w:szCs w:val="20"/>
        </w:rPr>
        <w:t>MADDE 24 – </w:t>
      </w:r>
      <w:r w:rsidRPr="005904BC">
        <w:rPr>
          <w:sz w:val="20"/>
          <w:szCs w:val="20"/>
        </w:rPr>
        <w:t>Aynı Tebliğin 27 </w:t>
      </w:r>
      <w:proofErr w:type="spellStart"/>
      <w:r w:rsidRPr="005904BC">
        <w:rPr>
          <w:sz w:val="20"/>
          <w:szCs w:val="20"/>
        </w:rPr>
        <w:t>nci</w:t>
      </w:r>
      <w:proofErr w:type="spellEnd"/>
      <w:r w:rsidRPr="005904BC">
        <w:rPr>
          <w:sz w:val="20"/>
          <w:szCs w:val="20"/>
        </w:rPr>
        <w:t xml:space="preserve"> maddesinin birinci ve üçüncü fıkraları aşağıdaki şekilde değiştirilmiş, </w:t>
      </w:r>
      <w:proofErr w:type="spellStart"/>
      <w:r w:rsidRPr="005904BC">
        <w:rPr>
          <w:sz w:val="20"/>
          <w:szCs w:val="20"/>
        </w:rPr>
        <w:t>aynımaddeye</w:t>
      </w:r>
      <w:proofErr w:type="spellEnd"/>
      <w:r w:rsidRPr="005904BC">
        <w:rPr>
          <w:sz w:val="20"/>
          <w:szCs w:val="20"/>
        </w:rPr>
        <w:t xml:space="preserve"> aşağıdaki dördüncü fıkra eklenmiştir.</w:t>
      </w:r>
    </w:p>
    <w:p w:rsidR="005904BC" w:rsidRPr="005904BC" w:rsidRDefault="005904BC" w:rsidP="005904BC">
      <w:pPr>
        <w:pStyle w:val="NormalWeb"/>
        <w:rPr>
          <w:sz w:val="20"/>
          <w:szCs w:val="20"/>
        </w:rPr>
      </w:pPr>
      <w:r w:rsidRPr="005904BC">
        <w:rPr>
          <w:sz w:val="20"/>
          <w:szCs w:val="20"/>
        </w:rPr>
        <w:t>“(1) Ortaklık </w:t>
      </w:r>
      <w:proofErr w:type="gramStart"/>
      <w:r w:rsidRPr="005904BC">
        <w:rPr>
          <w:sz w:val="20"/>
          <w:szCs w:val="20"/>
        </w:rPr>
        <w:t>portföyünde</w:t>
      </w:r>
      <w:proofErr w:type="gramEnd"/>
      <w:r w:rsidRPr="005904BC">
        <w:rPr>
          <w:sz w:val="20"/>
          <w:szCs w:val="20"/>
        </w:rPr>
        <w:t xml:space="preserve"> yer alan gayrimenkullere ve/veya altyapı yatırım ve hizmetlerine ilişkin işletme hizmetleri işletmeci şirketlerden alınır.” </w:t>
      </w:r>
    </w:p>
    <w:p w:rsidR="005904BC" w:rsidRPr="005904BC" w:rsidRDefault="005904BC" w:rsidP="005904BC">
      <w:pPr>
        <w:pStyle w:val="NormalWeb"/>
        <w:rPr>
          <w:sz w:val="20"/>
          <w:szCs w:val="20"/>
        </w:rPr>
      </w:pPr>
      <w:r w:rsidRPr="005904BC">
        <w:rPr>
          <w:sz w:val="20"/>
          <w:szCs w:val="20"/>
        </w:rPr>
        <w:t>“(3) Ortaklık portföyünde yer alan gayrimenkuller ile gayrimenkul projelerinin pazarlanmasına ve değerinin artırılmasına yönelik olarak yapılacak reklam ve </w:t>
      </w:r>
      <w:proofErr w:type="gramStart"/>
      <w:r w:rsidRPr="005904BC">
        <w:rPr>
          <w:sz w:val="20"/>
          <w:szCs w:val="20"/>
        </w:rPr>
        <w:t>promosyon</w:t>
      </w:r>
      <w:proofErr w:type="gramEnd"/>
      <w:r w:rsidRPr="005904BC">
        <w:rPr>
          <w:sz w:val="20"/>
          <w:szCs w:val="20"/>
        </w:rPr>
        <w:t xml:space="preserve"> faaliyetleri temel hizmet kapsamındadır.” </w:t>
      </w:r>
    </w:p>
    <w:p w:rsidR="005904BC" w:rsidRPr="005904BC" w:rsidRDefault="005904BC" w:rsidP="005904BC">
      <w:pPr>
        <w:pStyle w:val="NormalWeb"/>
        <w:rPr>
          <w:sz w:val="20"/>
          <w:szCs w:val="20"/>
        </w:rPr>
      </w:pPr>
      <w:r w:rsidRPr="005904BC">
        <w:rPr>
          <w:sz w:val="20"/>
          <w:szCs w:val="20"/>
        </w:rPr>
        <w:lastRenderedPageBreak/>
        <w:t>“(4) Münhasıran altyapı yatırım ve hizmetlerinden oluşan </w:t>
      </w:r>
      <w:proofErr w:type="gramStart"/>
      <w:r w:rsidRPr="005904BC">
        <w:rPr>
          <w:sz w:val="20"/>
          <w:szCs w:val="20"/>
        </w:rPr>
        <w:t>portföyü</w:t>
      </w:r>
      <w:proofErr w:type="gramEnd"/>
      <w:r w:rsidRPr="005904BC">
        <w:rPr>
          <w:sz w:val="20"/>
          <w:szCs w:val="20"/>
        </w:rPr>
        <w:t xml:space="preserve"> işletecek ortaklıklar, mülkiyetinde bulunan altyapı tesislerine ilişkin üretim lisansına veya benzeri başka imtiyazlara sahip olmak koşuluyla söz konusu tesislerde gerçekleştirilecek anılan lisansa ve/veya imtiyaza bağlı faaliyetleri doğrudan kendisi yürütebilir.” </w:t>
      </w:r>
    </w:p>
    <w:p w:rsidR="005904BC" w:rsidRPr="005904BC" w:rsidRDefault="005904BC" w:rsidP="005904BC">
      <w:pPr>
        <w:pStyle w:val="NormalWeb"/>
        <w:rPr>
          <w:sz w:val="20"/>
          <w:szCs w:val="20"/>
        </w:rPr>
      </w:pPr>
      <w:r w:rsidRPr="005904BC">
        <w:rPr>
          <w:rStyle w:val="Gl"/>
          <w:sz w:val="20"/>
          <w:szCs w:val="20"/>
        </w:rPr>
        <w:t>MADDE 25 – </w:t>
      </w:r>
      <w:r w:rsidRPr="005904BC">
        <w:rPr>
          <w:sz w:val="20"/>
          <w:szCs w:val="20"/>
        </w:rPr>
        <w:t>Aynı Tebliğin 28 inci maddesi aşağıdaki şekilde değiştirilmiştir.</w:t>
      </w:r>
    </w:p>
    <w:p w:rsidR="005904BC" w:rsidRPr="005904BC" w:rsidRDefault="005904BC" w:rsidP="005904BC">
      <w:pPr>
        <w:pStyle w:val="NormalWeb"/>
        <w:rPr>
          <w:sz w:val="20"/>
          <w:szCs w:val="20"/>
        </w:rPr>
      </w:pPr>
      <w:r w:rsidRPr="005904BC">
        <w:rPr>
          <w:rStyle w:val="Gl"/>
          <w:sz w:val="20"/>
          <w:szCs w:val="20"/>
        </w:rPr>
        <w:t>“MADDE 28 – </w:t>
      </w:r>
      <w:r w:rsidRPr="005904BC">
        <w:rPr>
          <w:sz w:val="20"/>
          <w:szCs w:val="20"/>
        </w:rPr>
        <w:t>(1) Ortaklıklar, sadece;</w:t>
      </w:r>
    </w:p>
    <w:p w:rsidR="005904BC" w:rsidRPr="005904BC" w:rsidRDefault="005904BC" w:rsidP="005904BC">
      <w:pPr>
        <w:pStyle w:val="NormalWeb"/>
        <w:rPr>
          <w:sz w:val="20"/>
          <w:szCs w:val="20"/>
        </w:rPr>
      </w:pPr>
      <w:r w:rsidRPr="005904BC">
        <w:rPr>
          <w:sz w:val="20"/>
          <w:szCs w:val="20"/>
        </w:rPr>
        <w:t>a) İşletmeci şirketlere,</w:t>
      </w:r>
    </w:p>
    <w:p w:rsidR="005904BC" w:rsidRPr="005904BC" w:rsidRDefault="005904BC" w:rsidP="005904BC">
      <w:pPr>
        <w:pStyle w:val="NormalWeb"/>
        <w:rPr>
          <w:sz w:val="20"/>
          <w:szCs w:val="20"/>
        </w:rPr>
      </w:pPr>
      <w:r w:rsidRPr="005904BC">
        <w:rPr>
          <w:sz w:val="20"/>
          <w:szCs w:val="20"/>
        </w:rPr>
        <w:t>b) Diğer gayrimenkul yatırım ortaklıklarına,</w:t>
      </w:r>
    </w:p>
    <w:p w:rsidR="005904BC" w:rsidRPr="005904BC" w:rsidRDefault="005904BC" w:rsidP="005904BC">
      <w:pPr>
        <w:pStyle w:val="NormalWeb"/>
        <w:rPr>
          <w:sz w:val="20"/>
          <w:szCs w:val="20"/>
        </w:rPr>
      </w:pPr>
      <w:r w:rsidRPr="005904BC">
        <w:rPr>
          <w:sz w:val="20"/>
          <w:szCs w:val="20"/>
        </w:rPr>
        <w:t>c) Yap-işlet-devret projeleri kapsamında kurulan şirketlere,</w:t>
      </w:r>
    </w:p>
    <w:p w:rsidR="005904BC" w:rsidRPr="005904BC" w:rsidRDefault="005904BC" w:rsidP="005904BC">
      <w:pPr>
        <w:pStyle w:val="NormalWeb"/>
        <w:rPr>
          <w:sz w:val="20"/>
          <w:szCs w:val="20"/>
        </w:rPr>
      </w:pPr>
      <w:r w:rsidRPr="005904BC">
        <w:rPr>
          <w:sz w:val="20"/>
          <w:szCs w:val="20"/>
        </w:rPr>
        <w:t>ç) Belirli gayrimenkullerin ya da gayrimenkule dayalı hakların </w:t>
      </w:r>
      <w:proofErr w:type="gramStart"/>
      <w:r w:rsidRPr="005904BC">
        <w:rPr>
          <w:sz w:val="20"/>
          <w:szCs w:val="20"/>
        </w:rPr>
        <w:t>portföye</w:t>
      </w:r>
      <w:proofErr w:type="gramEnd"/>
      <w:r w:rsidRPr="005904BC">
        <w:rPr>
          <w:sz w:val="20"/>
          <w:szCs w:val="20"/>
        </w:rPr>
        <w:t> alınması amacıyla sınırlı olarak faaliyet konusu yalnızca gayrimenkul olan yurt dışında kurulu şirketlere,</w:t>
      </w:r>
    </w:p>
    <w:p w:rsidR="005904BC" w:rsidRPr="005904BC" w:rsidRDefault="005904BC" w:rsidP="005904BC">
      <w:pPr>
        <w:pStyle w:val="NormalWeb"/>
        <w:rPr>
          <w:sz w:val="20"/>
          <w:szCs w:val="20"/>
        </w:rPr>
      </w:pPr>
      <w:r w:rsidRPr="005904BC">
        <w:rPr>
          <w:sz w:val="20"/>
          <w:szCs w:val="20"/>
        </w:rPr>
        <w:t>d) Gayrimenkullerin ya da gayrimenkule dayalı hakların değerinin, iştirak edilecek şirketin tabi olduğu mevzuat hükümlerine göre hazırlanan finansal tablolarında yer alan aktif toplamının devamlı olarak en az %75’ini oluşturduğu Türkiye’de kurulu şirketlere,</w:t>
      </w:r>
    </w:p>
    <w:p w:rsidR="005904BC" w:rsidRPr="005904BC" w:rsidRDefault="005904BC" w:rsidP="005904BC">
      <w:pPr>
        <w:pStyle w:val="NormalWeb"/>
        <w:rPr>
          <w:sz w:val="20"/>
          <w:szCs w:val="20"/>
        </w:rPr>
      </w:pPr>
      <w:proofErr w:type="gramStart"/>
      <w:r w:rsidRPr="005904BC">
        <w:rPr>
          <w:sz w:val="20"/>
          <w:szCs w:val="20"/>
        </w:rPr>
        <w:t xml:space="preserve">e) Portföylerinde yer alan ve/veya yer alması planlanan gayrimenkul, gayrimenkule dayalı hak veya gayrimenkul projelerine ilişkin yol, su, elektrik, gaz, kanalizasyon, peyzaj, çevre gibi hizmetlerin ilgili mevzuatta yer alan yasal zorunluluklar gereği yalnızca bu hizmetlerin yerine getirilmesi amacıyla sınırlı olarak kurulmuş veya kurulacak şirketler tarafından gerçekleştirilmesinin zorunlu olması halinde bu şirketlere </w:t>
      </w:r>
      <w:proofErr w:type="gramEnd"/>
    </w:p>
    <w:p w:rsidR="005904BC" w:rsidRPr="005904BC" w:rsidRDefault="005904BC" w:rsidP="005904BC">
      <w:pPr>
        <w:pStyle w:val="NormalWeb"/>
        <w:rPr>
          <w:sz w:val="20"/>
          <w:szCs w:val="20"/>
        </w:rPr>
      </w:pPr>
      <w:proofErr w:type="gramStart"/>
      <w:r w:rsidRPr="005904BC">
        <w:rPr>
          <w:sz w:val="20"/>
          <w:szCs w:val="20"/>
        </w:rPr>
        <w:t>iştirak</w:t>
      </w:r>
      <w:proofErr w:type="gramEnd"/>
      <w:r w:rsidRPr="005904BC">
        <w:rPr>
          <w:sz w:val="20"/>
          <w:szCs w:val="20"/>
        </w:rPr>
        <w:t> edebilirler.</w:t>
      </w:r>
    </w:p>
    <w:p w:rsidR="005904BC" w:rsidRPr="005904BC" w:rsidRDefault="005904BC" w:rsidP="005904BC">
      <w:pPr>
        <w:pStyle w:val="NormalWeb"/>
        <w:rPr>
          <w:sz w:val="20"/>
          <w:szCs w:val="20"/>
        </w:rPr>
      </w:pPr>
      <w:r w:rsidRPr="005904BC">
        <w:rPr>
          <w:sz w:val="20"/>
          <w:szCs w:val="20"/>
        </w:rPr>
        <w:t>(2) Münhasıran altyapı yatırım ve hizmetlerinden oluşan </w:t>
      </w:r>
      <w:proofErr w:type="gramStart"/>
      <w:r w:rsidRPr="005904BC">
        <w:rPr>
          <w:sz w:val="20"/>
          <w:szCs w:val="20"/>
        </w:rPr>
        <w:t>portföyü</w:t>
      </w:r>
      <w:proofErr w:type="gramEnd"/>
      <w:r w:rsidRPr="005904BC">
        <w:rPr>
          <w:sz w:val="20"/>
          <w:szCs w:val="20"/>
        </w:rPr>
        <w:t> işleten ortaklıklar ise;</w:t>
      </w:r>
    </w:p>
    <w:p w:rsidR="005904BC" w:rsidRPr="005904BC" w:rsidRDefault="005904BC" w:rsidP="005904BC">
      <w:pPr>
        <w:pStyle w:val="NormalWeb"/>
        <w:rPr>
          <w:sz w:val="20"/>
          <w:szCs w:val="20"/>
        </w:rPr>
      </w:pPr>
      <w:r w:rsidRPr="005904BC">
        <w:rPr>
          <w:sz w:val="20"/>
          <w:szCs w:val="20"/>
        </w:rPr>
        <w:t>a) İşletmeci şirketlere,</w:t>
      </w:r>
    </w:p>
    <w:p w:rsidR="005904BC" w:rsidRPr="005904BC" w:rsidRDefault="005904BC" w:rsidP="005904BC">
      <w:pPr>
        <w:pStyle w:val="NormalWeb"/>
        <w:rPr>
          <w:sz w:val="20"/>
          <w:szCs w:val="20"/>
        </w:rPr>
      </w:pPr>
      <w:r w:rsidRPr="005904BC">
        <w:rPr>
          <w:sz w:val="20"/>
          <w:szCs w:val="20"/>
        </w:rPr>
        <w:t>b) Altyapı şirketlerine,</w:t>
      </w:r>
    </w:p>
    <w:p w:rsidR="005904BC" w:rsidRPr="005904BC" w:rsidRDefault="005904BC" w:rsidP="005904BC">
      <w:pPr>
        <w:pStyle w:val="NormalWeb"/>
        <w:rPr>
          <w:sz w:val="20"/>
          <w:szCs w:val="20"/>
        </w:rPr>
      </w:pPr>
      <w:r w:rsidRPr="005904BC">
        <w:rPr>
          <w:sz w:val="20"/>
          <w:szCs w:val="20"/>
        </w:rPr>
        <w:t>c) Münhasıran altyapı yatırım ve hizmetlerinden oluşan </w:t>
      </w:r>
      <w:proofErr w:type="gramStart"/>
      <w:r w:rsidRPr="005904BC">
        <w:rPr>
          <w:sz w:val="20"/>
          <w:szCs w:val="20"/>
        </w:rPr>
        <w:t>portföyü</w:t>
      </w:r>
      <w:proofErr w:type="gramEnd"/>
      <w:r w:rsidRPr="005904BC">
        <w:rPr>
          <w:sz w:val="20"/>
          <w:szCs w:val="20"/>
        </w:rPr>
        <w:t> işleten diğer ortaklıklara,</w:t>
      </w:r>
    </w:p>
    <w:p w:rsidR="005904BC" w:rsidRPr="005904BC" w:rsidRDefault="005904BC" w:rsidP="005904BC">
      <w:pPr>
        <w:pStyle w:val="NormalWeb"/>
        <w:rPr>
          <w:sz w:val="20"/>
          <w:szCs w:val="20"/>
        </w:rPr>
      </w:pPr>
      <w:r w:rsidRPr="005904BC">
        <w:rPr>
          <w:sz w:val="20"/>
          <w:szCs w:val="20"/>
        </w:rPr>
        <w:t>ç) Yap-işlet-devret projeleri ve diğer kamu özel işbirliği modelleri kapsamında kurulan şirketlere</w:t>
      </w:r>
    </w:p>
    <w:p w:rsidR="005904BC" w:rsidRPr="005904BC" w:rsidRDefault="005904BC" w:rsidP="005904BC">
      <w:pPr>
        <w:pStyle w:val="NormalWeb"/>
        <w:rPr>
          <w:sz w:val="20"/>
          <w:szCs w:val="20"/>
        </w:rPr>
      </w:pPr>
      <w:proofErr w:type="gramStart"/>
      <w:r w:rsidRPr="005904BC">
        <w:rPr>
          <w:sz w:val="20"/>
          <w:szCs w:val="20"/>
        </w:rPr>
        <w:t>iştirak</w:t>
      </w:r>
      <w:proofErr w:type="gramEnd"/>
      <w:r w:rsidRPr="005904BC">
        <w:rPr>
          <w:sz w:val="20"/>
          <w:szCs w:val="20"/>
        </w:rPr>
        <w:t> edebilir.</w:t>
      </w:r>
    </w:p>
    <w:p w:rsidR="005904BC" w:rsidRPr="005904BC" w:rsidRDefault="005904BC" w:rsidP="005904BC">
      <w:pPr>
        <w:pStyle w:val="NormalWeb"/>
        <w:rPr>
          <w:sz w:val="20"/>
          <w:szCs w:val="20"/>
        </w:rPr>
      </w:pPr>
      <w:r w:rsidRPr="005904BC">
        <w:rPr>
          <w:sz w:val="20"/>
          <w:szCs w:val="20"/>
        </w:rPr>
        <w:t>(3) Bu madde kapsamında iştiraklere yapılacak yatırımlarda 22 </w:t>
      </w:r>
      <w:proofErr w:type="spellStart"/>
      <w:r w:rsidRPr="005904BC">
        <w:rPr>
          <w:sz w:val="20"/>
          <w:szCs w:val="20"/>
        </w:rPr>
        <w:t>nci</w:t>
      </w:r>
      <w:proofErr w:type="spellEnd"/>
      <w:r w:rsidRPr="005904BC">
        <w:rPr>
          <w:sz w:val="20"/>
          <w:szCs w:val="20"/>
        </w:rPr>
        <w:t> maddenin birinci fıkrasının (l) ve (n) bentleri uygulanmaz.</w:t>
      </w:r>
    </w:p>
    <w:p w:rsidR="005904BC" w:rsidRPr="005904BC" w:rsidRDefault="005904BC" w:rsidP="005904BC">
      <w:pPr>
        <w:pStyle w:val="NormalWeb"/>
        <w:rPr>
          <w:sz w:val="20"/>
          <w:szCs w:val="20"/>
        </w:rPr>
      </w:pPr>
      <w:r w:rsidRPr="005904BC">
        <w:rPr>
          <w:sz w:val="20"/>
          <w:szCs w:val="20"/>
        </w:rPr>
        <w:t xml:space="preserve">(4) Ortaklıklar tarafından işletmeci şirketlere yapılacak iştirak, ortaklıkların hesap dönemi sonunda hazırlayıp kamuya açıkladıkları finansal tablolarında yer alan aktif toplamının %10’undan fazla olamaz.” </w:t>
      </w:r>
    </w:p>
    <w:p w:rsidR="005904BC" w:rsidRPr="005904BC" w:rsidRDefault="005904BC" w:rsidP="005904BC">
      <w:pPr>
        <w:pStyle w:val="NormalWeb"/>
        <w:rPr>
          <w:sz w:val="20"/>
          <w:szCs w:val="20"/>
        </w:rPr>
      </w:pPr>
      <w:r w:rsidRPr="005904BC">
        <w:rPr>
          <w:rStyle w:val="Gl"/>
          <w:sz w:val="20"/>
          <w:szCs w:val="20"/>
        </w:rPr>
        <w:t>MADDE 26 –</w:t>
      </w:r>
      <w:r w:rsidRPr="005904BC">
        <w:rPr>
          <w:sz w:val="20"/>
          <w:szCs w:val="20"/>
        </w:rPr>
        <w:t> Aynı Tebliğin 29 uncu maddesi aşağıdaki şekilde değiştirilmiştir.</w:t>
      </w:r>
    </w:p>
    <w:p w:rsidR="005904BC" w:rsidRPr="005904BC" w:rsidRDefault="005904BC" w:rsidP="005904BC">
      <w:pPr>
        <w:pStyle w:val="NormalWeb"/>
        <w:rPr>
          <w:sz w:val="20"/>
          <w:szCs w:val="20"/>
        </w:rPr>
      </w:pPr>
      <w:r w:rsidRPr="005904BC">
        <w:rPr>
          <w:rStyle w:val="Gl"/>
          <w:sz w:val="20"/>
          <w:szCs w:val="20"/>
        </w:rPr>
        <w:t>“MADDE 29 –</w:t>
      </w:r>
      <w:r w:rsidRPr="005904BC">
        <w:rPr>
          <w:sz w:val="20"/>
          <w:szCs w:val="20"/>
        </w:rPr>
        <w:t> (1) Ortaklık </w:t>
      </w:r>
      <w:proofErr w:type="gramStart"/>
      <w:r w:rsidRPr="005904BC">
        <w:rPr>
          <w:sz w:val="20"/>
          <w:szCs w:val="20"/>
        </w:rPr>
        <w:t>portföyünde</w:t>
      </w:r>
      <w:proofErr w:type="gramEnd"/>
      <w:r w:rsidRPr="005904BC">
        <w:rPr>
          <w:sz w:val="20"/>
          <w:szCs w:val="20"/>
        </w:rPr>
        <w:t> yer alan arsa, arazi, haklar ve henüz inşaatına başlanmamış projeler ve sermaye piyasası araçları hariç olmak üzere tüm varlıkların oluşabilecek her tür hasara karşı rayiç değerleri dikkate alınarak sigortalanması zorunludur. Münhasıran altyapı yatırım ve hizmetlerinden oluşan </w:t>
      </w:r>
      <w:proofErr w:type="gramStart"/>
      <w:r w:rsidRPr="005904BC">
        <w:rPr>
          <w:sz w:val="20"/>
          <w:szCs w:val="20"/>
        </w:rPr>
        <w:t>portföyü</w:t>
      </w:r>
      <w:proofErr w:type="gramEnd"/>
      <w:r w:rsidRPr="005904BC">
        <w:rPr>
          <w:sz w:val="20"/>
          <w:szCs w:val="20"/>
        </w:rPr>
        <w:t xml:space="preserve"> işleten ortaklıklarda sigorta yaptırılması ihtiyaridir.” </w:t>
      </w:r>
    </w:p>
    <w:p w:rsidR="005904BC" w:rsidRPr="005904BC" w:rsidRDefault="005904BC" w:rsidP="005904BC">
      <w:pPr>
        <w:pStyle w:val="NormalWeb"/>
        <w:rPr>
          <w:sz w:val="20"/>
          <w:szCs w:val="20"/>
        </w:rPr>
      </w:pPr>
      <w:r w:rsidRPr="005904BC">
        <w:rPr>
          <w:rStyle w:val="Gl"/>
          <w:sz w:val="20"/>
          <w:szCs w:val="20"/>
        </w:rPr>
        <w:t>MADDE 27 – </w:t>
      </w:r>
      <w:r w:rsidRPr="005904BC">
        <w:rPr>
          <w:sz w:val="20"/>
          <w:szCs w:val="20"/>
        </w:rPr>
        <w:t>Aynı Tebliğin 31 inci maddesi aşağıdaki şekilde değiştirilmiştir.</w:t>
      </w:r>
    </w:p>
    <w:p w:rsidR="005904BC" w:rsidRPr="005904BC" w:rsidRDefault="005904BC" w:rsidP="005904BC">
      <w:pPr>
        <w:pStyle w:val="NormalWeb"/>
        <w:rPr>
          <w:sz w:val="20"/>
          <w:szCs w:val="20"/>
        </w:rPr>
      </w:pPr>
      <w:r w:rsidRPr="005904BC">
        <w:rPr>
          <w:rStyle w:val="Gl"/>
          <w:sz w:val="20"/>
          <w:szCs w:val="20"/>
        </w:rPr>
        <w:lastRenderedPageBreak/>
        <w:t>“MADDE 31 –</w:t>
      </w:r>
      <w:r w:rsidRPr="005904BC">
        <w:rPr>
          <w:sz w:val="20"/>
          <w:szCs w:val="20"/>
        </w:rPr>
        <w:t> (1) Ortaklıklar, fon ihtiyaçlarını veya portföyleri ile ilgili maliyetleri karşılamak amacıyla hesap dönemi sonunda hazırlayıp kamuya açıkladıkları </w:t>
      </w:r>
      <w:proofErr w:type="gramStart"/>
      <w:r w:rsidRPr="005904BC">
        <w:rPr>
          <w:sz w:val="20"/>
          <w:szCs w:val="20"/>
        </w:rPr>
        <w:t>konsolide</w:t>
      </w:r>
      <w:proofErr w:type="gramEnd"/>
      <w:r w:rsidRPr="005904BC">
        <w:rPr>
          <w:sz w:val="20"/>
          <w:szCs w:val="20"/>
        </w:rPr>
        <w:t> olmayan veya bireysel finansal tablolarında yer alan öz sermayelerinin beş katı kadar kredi kullanabilirler. Söz konusu kredilerin üst sınırının hesaplanmasında ortaklığın finansal kiralama işlemlerinden doğan borçları ve gayri nakdi kredileri de dikkate alınır.</w:t>
      </w:r>
    </w:p>
    <w:p w:rsidR="005904BC" w:rsidRPr="005904BC" w:rsidRDefault="005904BC" w:rsidP="005904BC">
      <w:pPr>
        <w:pStyle w:val="NormalWeb"/>
        <w:rPr>
          <w:sz w:val="20"/>
          <w:szCs w:val="20"/>
        </w:rPr>
      </w:pPr>
      <w:r w:rsidRPr="005904BC">
        <w:rPr>
          <w:sz w:val="20"/>
          <w:szCs w:val="20"/>
        </w:rPr>
        <w:t>(2) Ortaklıklar sermaye piyasası mevzuatındaki sınırlamalar </w:t>
      </w:r>
      <w:proofErr w:type="gramStart"/>
      <w:r w:rsidRPr="005904BC">
        <w:rPr>
          <w:sz w:val="20"/>
          <w:szCs w:val="20"/>
        </w:rPr>
        <w:t>dahilinde</w:t>
      </w:r>
      <w:proofErr w:type="gramEnd"/>
      <w:r w:rsidRPr="005904BC">
        <w:rPr>
          <w:sz w:val="20"/>
          <w:szCs w:val="20"/>
        </w:rPr>
        <w:t> borçlanma aracı ihraç edebilirler. Ancak ihraç edecekleri borçlanma araçları için sermaye piyasası mevzuatı uyarınca hesaplanacak ihraç limitinden birinci fıkrada bahsedilen krediler düşülür.</w:t>
      </w:r>
    </w:p>
    <w:p w:rsidR="005904BC" w:rsidRPr="005904BC" w:rsidRDefault="005904BC" w:rsidP="005904BC">
      <w:pPr>
        <w:pStyle w:val="NormalWeb"/>
        <w:rPr>
          <w:sz w:val="20"/>
          <w:szCs w:val="20"/>
        </w:rPr>
      </w:pPr>
      <w:r w:rsidRPr="005904BC">
        <w:rPr>
          <w:sz w:val="20"/>
          <w:szCs w:val="20"/>
        </w:rPr>
        <w:t>(3) Ortaklıklar, Kurul düzenlemeleri çerçevesinde gayrimenkul sertifikası ve </w:t>
      </w:r>
      <w:proofErr w:type="gramStart"/>
      <w:r w:rsidRPr="005904BC">
        <w:rPr>
          <w:sz w:val="20"/>
          <w:szCs w:val="20"/>
        </w:rPr>
        <w:t>portföydeki</w:t>
      </w:r>
      <w:proofErr w:type="gramEnd"/>
      <w:r w:rsidRPr="005904BC">
        <w:rPr>
          <w:sz w:val="20"/>
          <w:szCs w:val="20"/>
        </w:rPr>
        <w:t> gayrimenkullerin satışından veya satış vaadi sözleşmelerinden kaynaklanan senetli alacakları ile kira gelirlerinin teminatı altında varlık teminatlı menkul kıymet ihraç edebilirler.</w:t>
      </w:r>
    </w:p>
    <w:p w:rsidR="005904BC" w:rsidRPr="005904BC" w:rsidRDefault="005904BC" w:rsidP="005904BC">
      <w:pPr>
        <w:pStyle w:val="NormalWeb"/>
        <w:rPr>
          <w:sz w:val="20"/>
          <w:szCs w:val="20"/>
        </w:rPr>
      </w:pPr>
      <w:r w:rsidRPr="005904BC">
        <w:rPr>
          <w:sz w:val="20"/>
          <w:szCs w:val="20"/>
        </w:rPr>
        <w:t>(4) Kurul, münhasıran altyapı yatırım ve hizmetlerinden oluşan </w:t>
      </w:r>
      <w:proofErr w:type="gramStart"/>
      <w:r w:rsidRPr="005904BC">
        <w:rPr>
          <w:sz w:val="20"/>
          <w:szCs w:val="20"/>
        </w:rPr>
        <w:t>portföyü</w:t>
      </w:r>
      <w:proofErr w:type="gramEnd"/>
      <w:r w:rsidRPr="005904BC">
        <w:rPr>
          <w:sz w:val="20"/>
          <w:szCs w:val="20"/>
        </w:rPr>
        <w:t> işleten ortaklıklar için altyapı yatırım ve hizmetlerinin niteliğini dikkate almak suretiyle borçlanma sınırını artırabilir.”</w:t>
      </w:r>
    </w:p>
    <w:p w:rsidR="005904BC" w:rsidRPr="005904BC" w:rsidRDefault="005904BC" w:rsidP="005904BC">
      <w:pPr>
        <w:pStyle w:val="NormalWeb"/>
        <w:rPr>
          <w:sz w:val="20"/>
          <w:szCs w:val="20"/>
        </w:rPr>
      </w:pPr>
      <w:r w:rsidRPr="005904BC">
        <w:rPr>
          <w:rStyle w:val="Gl"/>
          <w:sz w:val="20"/>
          <w:szCs w:val="20"/>
        </w:rPr>
        <w:t>MADDE 28 –</w:t>
      </w:r>
      <w:r w:rsidRPr="005904BC">
        <w:rPr>
          <w:sz w:val="20"/>
          <w:szCs w:val="20"/>
        </w:rPr>
        <w:t> Aynı Tebliğin 32 </w:t>
      </w:r>
      <w:proofErr w:type="spellStart"/>
      <w:r w:rsidRPr="005904BC">
        <w:rPr>
          <w:sz w:val="20"/>
          <w:szCs w:val="20"/>
        </w:rPr>
        <w:t>nci</w:t>
      </w:r>
      <w:proofErr w:type="spellEnd"/>
      <w:r w:rsidRPr="005904BC">
        <w:rPr>
          <w:sz w:val="20"/>
          <w:szCs w:val="20"/>
        </w:rPr>
        <w:t> maddesinin birinci fıkrası aşağıdaki şekilde değiştirilmiştir.</w:t>
      </w:r>
    </w:p>
    <w:p w:rsidR="005904BC" w:rsidRPr="005904BC" w:rsidRDefault="005904BC" w:rsidP="005904BC">
      <w:pPr>
        <w:pStyle w:val="NormalWeb"/>
        <w:rPr>
          <w:sz w:val="20"/>
          <w:szCs w:val="20"/>
        </w:rPr>
      </w:pPr>
      <w:r w:rsidRPr="005904BC">
        <w:rPr>
          <w:sz w:val="20"/>
          <w:szCs w:val="20"/>
        </w:rPr>
        <w:t>“(1) Ortaklığın yürüttüğü projelerin her türlü inşaat işleri ile </w:t>
      </w:r>
      <w:proofErr w:type="spellStart"/>
      <w:r w:rsidRPr="005904BC">
        <w:rPr>
          <w:sz w:val="20"/>
          <w:szCs w:val="20"/>
        </w:rPr>
        <w:t>ihzarat</w:t>
      </w:r>
      <w:proofErr w:type="spellEnd"/>
      <w:r w:rsidRPr="005904BC">
        <w:rPr>
          <w:sz w:val="20"/>
          <w:szCs w:val="20"/>
        </w:rPr>
        <w:t>, imalat, sondaj, tesisat, değiştirme, iyileştirme, yenileştirme, geliştirme, montaj ve benzeri yapım işlerinin tarafların inşaat işlerinden doğan karşılıklı hak ve yükümlülüklerini içeren bir sözleşme </w:t>
      </w:r>
      <w:proofErr w:type="gramStart"/>
      <w:r w:rsidRPr="005904BC">
        <w:rPr>
          <w:sz w:val="20"/>
          <w:szCs w:val="20"/>
        </w:rPr>
        <w:t>dahilinde</w:t>
      </w:r>
      <w:proofErr w:type="gramEnd"/>
      <w:r w:rsidRPr="005904BC">
        <w:rPr>
          <w:sz w:val="20"/>
          <w:szCs w:val="20"/>
        </w:rPr>
        <w:t xml:space="preserve"> müteahhitlerce yapılması zorunludur.” </w:t>
      </w:r>
    </w:p>
    <w:p w:rsidR="005904BC" w:rsidRPr="005904BC" w:rsidRDefault="005904BC" w:rsidP="005904BC">
      <w:pPr>
        <w:pStyle w:val="NormalWeb"/>
        <w:rPr>
          <w:sz w:val="20"/>
          <w:szCs w:val="20"/>
        </w:rPr>
      </w:pPr>
      <w:r w:rsidRPr="005904BC">
        <w:rPr>
          <w:rStyle w:val="Gl"/>
          <w:sz w:val="20"/>
          <w:szCs w:val="20"/>
        </w:rPr>
        <w:t>MADDE 29 –</w:t>
      </w:r>
      <w:r w:rsidRPr="005904BC">
        <w:rPr>
          <w:sz w:val="20"/>
          <w:szCs w:val="20"/>
        </w:rPr>
        <w:t> Aynı Tebliğin 33 üncü maddesinin ikinci fıkrası aşağıdaki şekilde değiştirilmiştir.</w:t>
      </w:r>
    </w:p>
    <w:p w:rsidR="005904BC" w:rsidRPr="005904BC" w:rsidRDefault="005904BC" w:rsidP="005904BC">
      <w:pPr>
        <w:pStyle w:val="NormalWeb"/>
        <w:rPr>
          <w:sz w:val="20"/>
          <w:szCs w:val="20"/>
        </w:rPr>
      </w:pPr>
      <w:r w:rsidRPr="005904BC">
        <w:rPr>
          <w:sz w:val="20"/>
          <w:szCs w:val="20"/>
        </w:rPr>
        <w:t>“(2) Adi ortaklık tarafından yürütülecek projelere ilişkin inşaat işlerinin 32 </w:t>
      </w:r>
      <w:proofErr w:type="spellStart"/>
      <w:r w:rsidRPr="005904BC">
        <w:rPr>
          <w:sz w:val="20"/>
          <w:szCs w:val="20"/>
        </w:rPr>
        <w:t>nci</w:t>
      </w:r>
      <w:proofErr w:type="spellEnd"/>
      <w:r w:rsidRPr="005904BC">
        <w:rPr>
          <w:sz w:val="20"/>
          <w:szCs w:val="20"/>
        </w:rPr>
        <w:t xml:space="preserve"> madde hükümleri </w:t>
      </w:r>
      <w:proofErr w:type="gramStart"/>
      <w:r w:rsidRPr="005904BC">
        <w:rPr>
          <w:sz w:val="20"/>
          <w:szCs w:val="20"/>
        </w:rPr>
        <w:t>kapsamında,müteahhitlerce</w:t>
      </w:r>
      <w:proofErr w:type="gramEnd"/>
      <w:r w:rsidRPr="005904BC">
        <w:rPr>
          <w:sz w:val="20"/>
          <w:szCs w:val="20"/>
        </w:rPr>
        <w:t xml:space="preserve"> yapılması zorunludur.” </w:t>
      </w:r>
    </w:p>
    <w:p w:rsidR="005904BC" w:rsidRPr="005904BC" w:rsidRDefault="005904BC" w:rsidP="005904BC">
      <w:pPr>
        <w:pStyle w:val="NormalWeb"/>
        <w:rPr>
          <w:sz w:val="20"/>
          <w:szCs w:val="20"/>
        </w:rPr>
      </w:pPr>
      <w:r w:rsidRPr="005904BC">
        <w:rPr>
          <w:rStyle w:val="Gl"/>
          <w:sz w:val="20"/>
          <w:szCs w:val="20"/>
        </w:rPr>
        <w:t>MADDE 30 – </w:t>
      </w:r>
      <w:r w:rsidRPr="005904BC">
        <w:rPr>
          <w:sz w:val="20"/>
          <w:szCs w:val="20"/>
        </w:rPr>
        <w:t>Aynı Tebliğin 34 üncü maddesi aşağıdaki şekilde değiştirilmiştir.</w:t>
      </w:r>
    </w:p>
    <w:p w:rsidR="005904BC" w:rsidRPr="005904BC" w:rsidRDefault="005904BC" w:rsidP="005904BC">
      <w:pPr>
        <w:pStyle w:val="NormalWeb"/>
        <w:rPr>
          <w:sz w:val="20"/>
          <w:szCs w:val="20"/>
        </w:rPr>
      </w:pPr>
      <w:r w:rsidRPr="005904BC">
        <w:rPr>
          <w:rStyle w:val="Gl"/>
          <w:sz w:val="20"/>
          <w:szCs w:val="20"/>
        </w:rPr>
        <w:t>“MADDE 34 –</w:t>
      </w:r>
      <w:r w:rsidRPr="005904BC">
        <w:rPr>
          <w:sz w:val="20"/>
          <w:szCs w:val="20"/>
        </w:rPr>
        <w:t xml:space="preserve"> (1) Ortaklıklar aşağıda sayılan işlemler için, işleme konu olan varlıkların ve hakların </w:t>
      </w:r>
      <w:proofErr w:type="spellStart"/>
      <w:r w:rsidRPr="005904BC">
        <w:rPr>
          <w:sz w:val="20"/>
          <w:szCs w:val="20"/>
        </w:rPr>
        <w:t>rayiçdeğerlerini</w:t>
      </w:r>
      <w:proofErr w:type="spellEnd"/>
      <w:r w:rsidRPr="005904BC">
        <w:rPr>
          <w:sz w:val="20"/>
          <w:szCs w:val="20"/>
        </w:rPr>
        <w:t xml:space="preserve"> ve rayiç kira bedellerini tespit ettirmekle yükümlüdürler.</w:t>
      </w:r>
    </w:p>
    <w:p w:rsidR="005904BC" w:rsidRPr="005904BC" w:rsidRDefault="005904BC" w:rsidP="005904BC">
      <w:pPr>
        <w:pStyle w:val="NormalWeb"/>
        <w:rPr>
          <w:sz w:val="20"/>
          <w:szCs w:val="20"/>
        </w:rPr>
      </w:pPr>
      <w:r w:rsidRPr="005904BC">
        <w:rPr>
          <w:sz w:val="20"/>
          <w:szCs w:val="20"/>
        </w:rPr>
        <w:t>a) Gayrimenkuller, gayrimenkule dayalı haklar, gayrimenkul projeleri, altyapı yatırım ve hizmetleri ile projelerinin portföye </w:t>
      </w:r>
      <w:proofErr w:type="gramStart"/>
      <w:r w:rsidRPr="005904BC">
        <w:rPr>
          <w:sz w:val="20"/>
          <w:szCs w:val="20"/>
        </w:rPr>
        <w:t>dahil</w:t>
      </w:r>
      <w:proofErr w:type="gramEnd"/>
      <w:r w:rsidRPr="005904BC">
        <w:rPr>
          <w:sz w:val="20"/>
          <w:szCs w:val="20"/>
        </w:rPr>
        <w:t> edilmesi veya portföyden çıkarılması,</w:t>
      </w:r>
    </w:p>
    <w:p w:rsidR="005904BC" w:rsidRPr="005904BC" w:rsidRDefault="005904BC" w:rsidP="005904BC">
      <w:pPr>
        <w:pStyle w:val="NormalWeb"/>
        <w:rPr>
          <w:sz w:val="20"/>
          <w:szCs w:val="20"/>
        </w:rPr>
      </w:pPr>
      <w:r w:rsidRPr="005904BC">
        <w:rPr>
          <w:sz w:val="20"/>
          <w:szCs w:val="20"/>
        </w:rPr>
        <w:t>b) Portföyde yer alan gayrimenkullerin kiraya verilmesi,</w:t>
      </w:r>
    </w:p>
    <w:p w:rsidR="005904BC" w:rsidRPr="005904BC" w:rsidRDefault="005904BC" w:rsidP="005904BC">
      <w:pPr>
        <w:pStyle w:val="NormalWeb"/>
        <w:rPr>
          <w:sz w:val="20"/>
          <w:szCs w:val="20"/>
        </w:rPr>
      </w:pPr>
      <w:r w:rsidRPr="005904BC">
        <w:rPr>
          <w:sz w:val="20"/>
          <w:szCs w:val="20"/>
        </w:rPr>
        <w:t>c) Kiraya verilmek üzere gayrimenkul kiralanması,</w:t>
      </w:r>
    </w:p>
    <w:p w:rsidR="005904BC" w:rsidRPr="005904BC" w:rsidRDefault="005904BC" w:rsidP="005904BC">
      <w:pPr>
        <w:pStyle w:val="NormalWeb"/>
        <w:rPr>
          <w:sz w:val="20"/>
          <w:szCs w:val="20"/>
        </w:rPr>
      </w:pPr>
      <w:r w:rsidRPr="005904BC">
        <w:rPr>
          <w:sz w:val="20"/>
          <w:szCs w:val="20"/>
        </w:rPr>
        <w:t>ç) Portföyde yer alan gayrimenkullerden kiraya verilenlerin kira sözleşmelerinin yenilenmesi veya uzatılması,</w:t>
      </w:r>
    </w:p>
    <w:p w:rsidR="005904BC" w:rsidRPr="005904BC" w:rsidRDefault="005904BC" w:rsidP="005904BC">
      <w:pPr>
        <w:pStyle w:val="NormalWeb"/>
        <w:rPr>
          <w:sz w:val="20"/>
          <w:szCs w:val="20"/>
        </w:rPr>
      </w:pPr>
      <w:r w:rsidRPr="005904BC">
        <w:rPr>
          <w:sz w:val="20"/>
          <w:szCs w:val="20"/>
        </w:rPr>
        <w:t>d) Gayrimenkul ipoteği kabul edilmesi,</w:t>
      </w:r>
    </w:p>
    <w:p w:rsidR="005904BC" w:rsidRPr="005904BC" w:rsidRDefault="005904BC" w:rsidP="005904BC">
      <w:pPr>
        <w:pStyle w:val="NormalWeb"/>
        <w:rPr>
          <w:sz w:val="20"/>
          <w:szCs w:val="20"/>
        </w:rPr>
      </w:pPr>
      <w:r w:rsidRPr="005904BC">
        <w:rPr>
          <w:sz w:val="20"/>
          <w:szCs w:val="20"/>
        </w:rPr>
        <w:t>e) Projelerin inşaatına başlanabilmesi için, yasal </w:t>
      </w:r>
      <w:proofErr w:type="gramStart"/>
      <w:r w:rsidRPr="005904BC">
        <w:rPr>
          <w:sz w:val="20"/>
          <w:szCs w:val="20"/>
        </w:rPr>
        <w:t>prosedüre</w:t>
      </w:r>
      <w:proofErr w:type="gramEnd"/>
      <w:r w:rsidRPr="005904BC">
        <w:rPr>
          <w:sz w:val="20"/>
          <w:szCs w:val="20"/>
        </w:rPr>
        <w:t> uyulduğunun ve gerekli belgelerin tam ve doğru olarak mevcut olduğunun tespit edilmesi,</w:t>
      </w:r>
    </w:p>
    <w:p w:rsidR="005904BC" w:rsidRPr="005904BC" w:rsidRDefault="005904BC" w:rsidP="005904BC">
      <w:pPr>
        <w:pStyle w:val="NormalWeb"/>
        <w:rPr>
          <w:sz w:val="20"/>
          <w:szCs w:val="20"/>
        </w:rPr>
      </w:pPr>
      <w:r w:rsidRPr="005904BC">
        <w:rPr>
          <w:sz w:val="20"/>
          <w:szCs w:val="20"/>
        </w:rPr>
        <w:t>f) Kurulca değerleme yaptırılması uygun görülecek diğer varlıkların portföye </w:t>
      </w:r>
      <w:proofErr w:type="gramStart"/>
      <w:r w:rsidRPr="005904BC">
        <w:rPr>
          <w:sz w:val="20"/>
          <w:szCs w:val="20"/>
        </w:rPr>
        <w:t>dahil</w:t>
      </w:r>
      <w:proofErr w:type="gramEnd"/>
      <w:r w:rsidRPr="005904BC">
        <w:rPr>
          <w:sz w:val="20"/>
          <w:szCs w:val="20"/>
        </w:rPr>
        <w:t xml:space="preserve"> edilmesi ve </w:t>
      </w:r>
      <w:proofErr w:type="spellStart"/>
      <w:r w:rsidRPr="005904BC">
        <w:rPr>
          <w:sz w:val="20"/>
          <w:szCs w:val="20"/>
        </w:rPr>
        <w:t>portföydençıkarılması</w:t>
      </w:r>
      <w:proofErr w:type="spellEnd"/>
      <w:r w:rsidRPr="005904BC">
        <w:rPr>
          <w:sz w:val="20"/>
          <w:szCs w:val="20"/>
        </w:rPr>
        <w:t>,</w:t>
      </w:r>
    </w:p>
    <w:p w:rsidR="005904BC" w:rsidRPr="005904BC" w:rsidRDefault="005904BC" w:rsidP="005904BC">
      <w:pPr>
        <w:pStyle w:val="NormalWeb"/>
        <w:rPr>
          <w:sz w:val="20"/>
          <w:szCs w:val="20"/>
        </w:rPr>
      </w:pPr>
      <w:r w:rsidRPr="005904BC">
        <w:rPr>
          <w:sz w:val="20"/>
          <w:szCs w:val="20"/>
        </w:rPr>
        <w:t>g) Portföyde yer alan ve ortaklığın hesap döneminin son üç ayı içerisinde herhangi bir nedenle rayiç değeri tespit edilmemiş olan varlıkların </w:t>
      </w:r>
      <w:proofErr w:type="gramStart"/>
      <w:r w:rsidRPr="005904BC">
        <w:rPr>
          <w:sz w:val="20"/>
          <w:szCs w:val="20"/>
        </w:rPr>
        <w:t>yıl sonu</w:t>
      </w:r>
      <w:proofErr w:type="gramEnd"/>
      <w:r w:rsidRPr="005904BC">
        <w:rPr>
          <w:sz w:val="20"/>
          <w:szCs w:val="20"/>
        </w:rPr>
        <w:t> değerlerinin tespiti,</w:t>
      </w:r>
    </w:p>
    <w:p w:rsidR="005904BC" w:rsidRPr="005904BC" w:rsidRDefault="005904BC" w:rsidP="005904BC">
      <w:pPr>
        <w:pStyle w:val="NormalWeb"/>
        <w:rPr>
          <w:sz w:val="20"/>
          <w:szCs w:val="20"/>
        </w:rPr>
      </w:pPr>
      <w:r w:rsidRPr="005904BC">
        <w:rPr>
          <w:sz w:val="20"/>
          <w:szCs w:val="20"/>
        </w:rPr>
        <w:t>ğ) (a) bendinde yer alan varlıkların niteliğinin veya cinsinin değiştirilmesi,</w:t>
      </w:r>
    </w:p>
    <w:p w:rsidR="005904BC" w:rsidRPr="005904BC" w:rsidRDefault="005904BC" w:rsidP="005904BC">
      <w:pPr>
        <w:pStyle w:val="NormalWeb"/>
        <w:rPr>
          <w:sz w:val="20"/>
          <w:szCs w:val="20"/>
        </w:rPr>
      </w:pPr>
      <w:r w:rsidRPr="005904BC">
        <w:rPr>
          <w:sz w:val="20"/>
          <w:szCs w:val="20"/>
        </w:rPr>
        <w:t>h) Ortaklığa ayni sermaye konulması.</w:t>
      </w:r>
    </w:p>
    <w:p w:rsidR="005904BC" w:rsidRPr="005904BC" w:rsidRDefault="005904BC" w:rsidP="005904BC">
      <w:pPr>
        <w:pStyle w:val="NormalWeb"/>
        <w:rPr>
          <w:sz w:val="20"/>
          <w:szCs w:val="20"/>
        </w:rPr>
      </w:pPr>
      <w:r w:rsidRPr="005904BC">
        <w:rPr>
          <w:sz w:val="20"/>
          <w:szCs w:val="20"/>
        </w:rPr>
        <w:lastRenderedPageBreak/>
        <w:t>(2) Portföye alınacak varlıkların ve hakların rayiç değerleri ile rayiç kira bedellerinin değer tespitinin Kurulca nitelikleri belirlenen kurum ve kuruluşlara yaptırılması zorunludur.</w:t>
      </w:r>
    </w:p>
    <w:p w:rsidR="005904BC" w:rsidRPr="005904BC" w:rsidRDefault="005904BC" w:rsidP="005904BC">
      <w:pPr>
        <w:pStyle w:val="NormalWeb"/>
        <w:rPr>
          <w:sz w:val="20"/>
          <w:szCs w:val="20"/>
        </w:rPr>
      </w:pPr>
      <w:r w:rsidRPr="005904BC">
        <w:rPr>
          <w:sz w:val="20"/>
          <w:szCs w:val="20"/>
        </w:rPr>
        <w:t>(3) Birinci fıkranın (g) bendi kapsamında yapılacak değer tespitlerinde, gayrimenkul değerlemesinin en geç ilgili yılın son günü itibarıyla tamamlanmış olması zorunludur.</w:t>
      </w:r>
    </w:p>
    <w:p w:rsidR="005904BC" w:rsidRPr="005904BC" w:rsidRDefault="005904BC" w:rsidP="005904BC">
      <w:pPr>
        <w:pStyle w:val="NormalWeb"/>
        <w:rPr>
          <w:sz w:val="20"/>
          <w:szCs w:val="20"/>
        </w:rPr>
      </w:pPr>
      <w:r w:rsidRPr="005904BC">
        <w:rPr>
          <w:sz w:val="20"/>
          <w:szCs w:val="20"/>
        </w:rPr>
        <w:t>(4) Yapılacak değerleme çalışmalarının bitiş tarihi ile rapor tarihi arasındaki sürenin beş iş gününü aşmaması ve gayrimenkul değerleme raporunun rapor tarihini takip eden iki iş günü içinde ortaklığa teslimi zorunludur.</w:t>
      </w:r>
    </w:p>
    <w:p w:rsidR="005904BC" w:rsidRPr="005904BC" w:rsidRDefault="005904BC" w:rsidP="005904BC">
      <w:pPr>
        <w:pStyle w:val="NormalWeb"/>
        <w:rPr>
          <w:sz w:val="20"/>
          <w:szCs w:val="20"/>
        </w:rPr>
      </w:pPr>
      <w:r w:rsidRPr="005904BC">
        <w:rPr>
          <w:sz w:val="20"/>
          <w:szCs w:val="20"/>
        </w:rPr>
        <w:t>(5) Üçüncü ve dördüncü fıkrada yer alan hükümlere, ortaklık ile gayrimenkul değerleme kuruluşu arasında yapılacak sözleşmede yer verilir.</w:t>
      </w:r>
    </w:p>
    <w:p w:rsidR="005904BC" w:rsidRPr="005904BC" w:rsidRDefault="005904BC" w:rsidP="005904BC">
      <w:pPr>
        <w:pStyle w:val="NormalWeb"/>
        <w:rPr>
          <w:sz w:val="20"/>
          <w:szCs w:val="20"/>
        </w:rPr>
      </w:pPr>
      <w:r w:rsidRPr="005904BC">
        <w:rPr>
          <w:sz w:val="20"/>
          <w:szCs w:val="20"/>
        </w:rPr>
        <w:t xml:space="preserve">(6) Münhasıran altyapı yatırım ve hizmetlerinden oluşan portföyü işleten ortaklıkların portföyünde yer alan </w:t>
      </w:r>
      <w:proofErr w:type="spellStart"/>
      <w:r w:rsidRPr="005904BC">
        <w:rPr>
          <w:sz w:val="20"/>
          <w:szCs w:val="20"/>
        </w:rPr>
        <w:t>altyapıyatırım</w:t>
      </w:r>
      <w:proofErr w:type="spellEnd"/>
      <w:r w:rsidRPr="005904BC">
        <w:rPr>
          <w:sz w:val="20"/>
          <w:szCs w:val="20"/>
        </w:rPr>
        <w:t xml:space="preserve"> ve hizmetlerine ilişkin gayrimenkul ve gayrimenkule dayalı haklar dışındaki varlıkların portföye </w:t>
      </w:r>
      <w:proofErr w:type="gramStart"/>
      <w:r w:rsidRPr="005904BC">
        <w:rPr>
          <w:sz w:val="20"/>
          <w:szCs w:val="20"/>
        </w:rPr>
        <w:t>dahil</w:t>
      </w:r>
      <w:proofErr w:type="gramEnd"/>
      <w:r w:rsidRPr="005904BC">
        <w:rPr>
          <w:sz w:val="20"/>
          <w:szCs w:val="20"/>
        </w:rPr>
        <w:t xml:space="preserve"> edilmesinde, portföyden çıkarılmasında, kiraya verilmesinde ve kiralanmasında değerlemeye ilişkin usul ve esaslar Kurulca belirlenir.” </w:t>
      </w:r>
    </w:p>
    <w:p w:rsidR="005904BC" w:rsidRPr="005904BC" w:rsidRDefault="005904BC" w:rsidP="005904BC">
      <w:pPr>
        <w:pStyle w:val="NormalWeb"/>
        <w:rPr>
          <w:sz w:val="20"/>
          <w:szCs w:val="20"/>
        </w:rPr>
      </w:pPr>
      <w:r w:rsidRPr="005904BC">
        <w:rPr>
          <w:rStyle w:val="Gl"/>
          <w:sz w:val="20"/>
          <w:szCs w:val="20"/>
        </w:rPr>
        <w:t>MADDE 31 – </w:t>
      </w:r>
      <w:r w:rsidRPr="005904BC">
        <w:rPr>
          <w:sz w:val="20"/>
          <w:szCs w:val="20"/>
        </w:rPr>
        <w:t>Aynı Tebliğin 35 inci maddesi başlığıyla beraber aşağıdaki şekilde değiştirilmiştir.</w:t>
      </w:r>
    </w:p>
    <w:p w:rsidR="005904BC" w:rsidRPr="005904BC" w:rsidRDefault="005904BC" w:rsidP="005904BC">
      <w:pPr>
        <w:pStyle w:val="NormalWeb"/>
        <w:rPr>
          <w:sz w:val="20"/>
          <w:szCs w:val="20"/>
        </w:rPr>
      </w:pPr>
      <w:r w:rsidRPr="005904BC">
        <w:rPr>
          <w:rStyle w:val="Gl"/>
          <w:sz w:val="20"/>
          <w:szCs w:val="20"/>
        </w:rPr>
        <w:t>“Gayrimenkul değerleme kuruluşunun seçimi</w:t>
      </w:r>
    </w:p>
    <w:p w:rsidR="005904BC" w:rsidRPr="005904BC" w:rsidRDefault="005904BC" w:rsidP="005904BC">
      <w:pPr>
        <w:pStyle w:val="NormalWeb"/>
        <w:rPr>
          <w:sz w:val="20"/>
          <w:szCs w:val="20"/>
        </w:rPr>
      </w:pPr>
      <w:r w:rsidRPr="005904BC">
        <w:rPr>
          <w:rStyle w:val="Gl"/>
          <w:sz w:val="20"/>
          <w:szCs w:val="20"/>
        </w:rPr>
        <w:t>MADDE 35 –</w:t>
      </w:r>
      <w:r w:rsidRPr="005904BC">
        <w:rPr>
          <w:sz w:val="20"/>
          <w:szCs w:val="20"/>
        </w:rPr>
        <w:t> (1) 34 üncü madde uyarınca değer tespiti yapacak olan gayrimenkul değerleme kuruluşlarının;</w:t>
      </w:r>
    </w:p>
    <w:p w:rsidR="005904BC" w:rsidRPr="005904BC" w:rsidRDefault="005904BC" w:rsidP="005904BC">
      <w:pPr>
        <w:pStyle w:val="NormalWeb"/>
        <w:rPr>
          <w:sz w:val="20"/>
          <w:szCs w:val="20"/>
        </w:rPr>
      </w:pPr>
      <w:r w:rsidRPr="005904BC">
        <w:rPr>
          <w:sz w:val="20"/>
          <w:szCs w:val="20"/>
        </w:rPr>
        <w:t>a) Kurulca listeye alınmış olması,</w:t>
      </w:r>
    </w:p>
    <w:p w:rsidR="005904BC" w:rsidRPr="005904BC" w:rsidRDefault="005904BC" w:rsidP="005904BC">
      <w:pPr>
        <w:pStyle w:val="NormalWeb"/>
        <w:rPr>
          <w:sz w:val="20"/>
          <w:szCs w:val="20"/>
        </w:rPr>
      </w:pPr>
      <w:r w:rsidRPr="005904BC">
        <w:rPr>
          <w:sz w:val="20"/>
          <w:szCs w:val="20"/>
        </w:rPr>
        <w:t xml:space="preserve">b) 21 inci maddenin (a) bendinde sayılan taraflardan, sermaye piyasası mevzuatı çerçevesinde gayrimenkul değerleme kuruluşlarına ilişkin Kurul düzenlemelerinde yer alan hükümler çerçevesinde bağımsız olması </w:t>
      </w:r>
    </w:p>
    <w:p w:rsidR="005904BC" w:rsidRPr="005904BC" w:rsidRDefault="005904BC" w:rsidP="005904BC">
      <w:pPr>
        <w:pStyle w:val="NormalWeb"/>
        <w:rPr>
          <w:sz w:val="20"/>
          <w:szCs w:val="20"/>
        </w:rPr>
      </w:pPr>
      <w:proofErr w:type="gramStart"/>
      <w:r w:rsidRPr="005904BC">
        <w:rPr>
          <w:sz w:val="20"/>
          <w:szCs w:val="20"/>
        </w:rPr>
        <w:t>gerekir</w:t>
      </w:r>
      <w:proofErr w:type="gramEnd"/>
      <w:r w:rsidRPr="005904BC">
        <w:rPr>
          <w:sz w:val="20"/>
          <w:szCs w:val="20"/>
        </w:rPr>
        <w:t>.</w:t>
      </w:r>
    </w:p>
    <w:p w:rsidR="005904BC" w:rsidRPr="005904BC" w:rsidRDefault="005904BC" w:rsidP="005904BC">
      <w:pPr>
        <w:pStyle w:val="NormalWeb"/>
        <w:rPr>
          <w:sz w:val="20"/>
          <w:szCs w:val="20"/>
        </w:rPr>
      </w:pPr>
      <w:r w:rsidRPr="005904BC">
        <w:rPr>
          <w:sz w:val="20"/>
          <w:szCs w:val="20"/>
        </w:rPr>
        <w:t>(2) Ortaklıkların hesap döneminin bitimini takip eden bir ay içerisinde, </w:t>
      </w:r>
      <w:proofErr w:type="gramStart"/>
      <w:r w:rsidRPr="005904BC">
        <w:rPr>
          <w:sz w:val="20"/>
          <w:szCs w:val="20"/>
        </w:rPr>
        <w:t>portföyünde</w:t>
      </w:r>
      <w:proofErr w:type="gramEnd"/>
      <w:r w:rsidRPr="005904BC">
        <w:rPr>
          <w:sz w:val="20"/>
          <w:szCs w:val="20"/>
        </w:rPr>
        <w:t> 34 üncü madde uyarınca değerleme yaptırılması gereken her bir varlık için değerleme hizmeti alınacak bir değerleme kuruluşunu ve portföyüne o yıl içerisinde alınabilecek ve değerleme gerektirecek varlıklar için değerleme hizmeti alınacak en fazla iki adet değerleme kuruluşunu yönetim kurulu kararı ile belirlemeleri, söz konusu yönetim kurulu kararını Kurulun özel durumların kamuya açıklanmasına ilişkin düzenlemeleri çerçevesinde kamuya açıklamaları ve bir örneğini Kurula göndermeleri gerekmektedir. Belirlenen değerleme kuruluşları ancak değiştirilme gerekçesinin Kurula gönderilmesini müteakip Kurul onayı ile değiştirilebilir.</w:t>
      </w:r>
    </w:p>
    <w:p w:rsidR="005904BC" w:rsidRPr="005904BC" w:rsidRDefault="005904BC" w:rsidP="005904BC">
      <w:pPr>
        <w:pStyle w:val="NormalWeb"/>
        <w:rPr>
          <w:sz w:val="20"/>
          <w:szCs w:val="20"/>
        </w:rPr>
      </w:pPr>
      <w:r w:rsidRPr="005904BC">
        <w:rPr>
          <w:sz w:val="20"/>
          <w:szCs w:val="20"/>
        </w:rPr>
        <w:t>(3) Ortaklıklar, </w:t>
      </w:r>
      <w:proofErr w:type="gramStart"/>
      <w:r w:rsidRPr="005904BC">
        <w:rPr>
          <w:sz w:val="20"/>
          <w:szCs w:val="20"/>
        </w:rPr>
        <w:t>portföylerinde</w:t>
      </w:r>
      <w:proofErr w:type="gramEnd"/>
      <w:r w:rsidRPr="005904BC">
        <w:rPr>
          <w:sz w:val="20"/>
          <w:szCs w:val="20"/>
        </w:rPr>
        <w:t> değerleme yaptırılması gereken her bir varlık için aynı gayrimenkul değerleme kuruluşundan üst üste en fazla üç yıl hizmet alabilirler. Üç yıllık sürenin dolmasından sonra ortaklığın aynı gayrimenkul değerleme kuruluşundan tekrar hizmet alabilmesi için en az iki yılın geçmesi zorunludur.</w:t>
      </w:r>
    </w:p>
    <w:p w:rsidR="005904BC" w:rsidRPr="005904BC" w:rsidRDefault="005904BC" w:rsidP="005904BC">
      <w:pPr>
        <w:pStyle w:val="NormalWeb"/>
        <w:rPr>
          <w:sz w:val="20"/>
          <w:szCs w:val="20"/>
        </w:rPr>
      </w:pPr>
      <w:r w:rsidRPr="005904BC">
        <w:rPr>
          <w:sz w:val="20"/>
          <w:szCs w:val="20"/>
        </w:rPr>
        <w:t>(4) Yurt dışındaki gayrimenkullerle ilgili olarak 34 üncü madde kapsamında yapılacak değerlemelerde, birinci fıkranın (a) bendindeki şart aranmaz. Ancak, yurtdışında yer alan gayrimenkullere ilişkin olarak yapılacak değerlemenin, varsa Kurulun muadili olan kurum listesinde yer alan değerleme kuruluşlarına yaptırılması zorunludur.</w:t>
      </w:r>
    </w:p>
    <w:p w:rsidR="005904BC" w:rsidRPr="005904BC" w:rsidRDefault="005904BC" w:rsidP="005904BC">
      <w:pPr>
        <w:pStyle w:val="NormalWeb"/>
        <w:rPr>
          <w:sz w:val="20"/>
          <w:szCs w:val="20"/>
        </w:rPr>
      </w:pPr>
      <w:r w:rsidRPr="005904BC">
        <w:rPr>
          <w:sz w:val="20"/>
          <w:szCs w:val="20"/>
        </w:rPr>
        <w:t xml:space="preserve">(5) Bu maddeye aykırı olarak yapılacak işlemlerden ortaklık yönetim kurulu veya yönetim kurulunca yetkilendirilmiş olması halinde ilgili murahhas üye sorumludur.” </w:t>
      </w:r>
    </w:p>
    <w:p w:rsidR="005904BC" w:rsidRPr="005904BC" w:rsidRDefault="005904BC" w:rsidP="005904BC">
      <w:pPr>
        <w:pStyle w:val="NormalWeb"/>
        <w:rPr>
          <w:sz w:val="20"/>
          <w:szCs w:val="20"/>
        </w:rPr>
      </w:pPr>
      <w:r w:rsidRPr="005904BC">
        <w:rPr>
          <w:rStyle w:val="Gl"/>
          <w:sz w:val="20"/>
          <w:szCs w:val="20"/>
        </w:rPr>
        <w:t>MADDE 32 –</w:t>
      </w:r>
      <w:r w:rsidRPr="005904BC">
        <w:rPr>
          <w:sz w:val="20"/>
          <w:szCs w:val="20"/>
        </w:rPr>
        <w:t> Aynı Tebliğin 36 </w:t>
      </w:r>
      <w:proofErr w:type="spellStart"/>
      <w:r w:rsidRPr="005904BC">
        <w:rPr>
          <w:sz w:val="20"/>
          <w:szCs w:val="20"/>
        </w:rPr>
        <w:t>ncı</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36 –</w:t>
      </w:r>
      <w:r w:rsidRPr="005904BC">
        <w:rPr>
          <w:sz w:val="20"/>
          <w:szCs w:val="20"/>
        </w:rPr>
        <w:t xml:space="preserve"> (1) 34 üncü madde uyarınca hazırlanacak değerleme raporlarında, sermaye piyasası mevzuatı çerçevesinde gayrimenkul değerleme hizmeti verecek kuruluşlar ile bu kuruluşların Kurulca listeye alınmalarına ve sermaye piyasasında uluslararası değerleme standartlarına ilişkin Kurul düzenlemelerinde yer alan esaslara uyulur.” </w:t>
      </w:r>
    </w:p>
    <w:p w:rsidR="005904BC" w:rsidRPr="005904BC" w:rsidRDefault="005904BC" w:rsidP="005904BC">
      <w:pPr>
        <w:pStyle w:val="NormalWeb"/>
        <w:rPr>
          <w:sz w:val="20"/>
          <w:szCs w:val="20"/>
        </w:rPr>
      </w:pPr>
      <w:r w:rsidRPr="005904BC">
        <w:rPr>
          <w:rStyle w:val="Gl"/>
          <w:sz w:val="20"/>
          <w:szCs w:val="20"/>
        </w:rPr>
        <w:lastRenderedPageBreak/>
        <w:t>MADDE 33 – </w:t>
      </w:r>
      <w:r w:rsidRPr="005904BC">
        <w:rPr>
          <w:sz w:val="20"/>
          <w:szCs w:val="20"/>
        </w:rPr>
        <w:t>Aynı Tebliğin 37 </w:t>
      </w:r>
      <w:proofErr w:type="spellStart"/>
      <w:r w:rsidRPr="005904BC">
        <w:rPr>
          <w:sz w:val="20"/>
          <w:szCs w:val="20"/>
        </w:rPr>
        <w:t>nci</w:t>
      </w:r>
      <w:proofErr w:type="spellEnd"/>
      <w:r w:rsidRPr="005904BC">
        <w:rPr>
          <w:sz w:val="20"/>
          <w:szCs w:val="20"/>
        </w:rPr>
        <w:t> maddesi aşağıdaki şekilde değiştirilmiştir.</w:t>
      </w:r>
    </w:p>
    <w:p w:rsidR="005904BC" w:rsidRPr="005904BC" w:rsidRDefault="005904BC" w:rsidP="005904BC">
      <w:pPr>
        <w:pStyle w:val="NormalWeb"/>
        <w:rPr>
          <w:sz w:val="20"/>
          <w:szCs w:val="20"/>
        </w:rPr>
      </w:pPr>
      <w:r w:rsidRPr="005904BC">
        <w:rPr>
          <w:rStyle w:val="Gl"/>
          <w:sz w:val="20"/>
          <w:szCs w:val="20"/>
        </w:rPr>
        <w:t>“MADDE 37 – </w:t>
      </w:r>
      <w:r w:rsidRPr="005904BC">
        <w:rPr>
          <w:sz w:val="20"/>
          <w:szCs w:val="20"/>
        </w:rPr>
        <w:t>(1) Ortaklığın portföyünde yer alan veya alması planlanan gayrimenkuller, gayrimenkul projeleri, gayrimenkule dayalı haklar, altyapı yatırım ve hizmetlerine ilişkin olarak yapılacak alım satım, kiralama ve benzeri işlemler tespit edilen </w:t>
      </w:r>
      <w:proofErr w:type="gramStart"/>
      <w:r w:rsidRPr="005904BC">
        <w:rPr>
          <w:sz w:val="20"/>
          <w:szCs w:val="20"/>
        </w:rPr>
        <w:t>ekspertiz</w:t>
      </w:r>
      <w:proofErr w:type="gramEnd"/>
      <w:r w:rsidRPr="005904BC">
        <w:rPr>
          <w:sz w:val="20"/>
          <w:szCs w:val="20"/>
        </w:rPr>
        <w:t> değerleri dikkate alınarak gerçekleştirilir. Mevcut piyasa veya ödeme koşulları dikkate alınarak yapılacak alım işlemlerinde </w:t>
      </w:r>
      <w:proofErr w:type="gramStart"/>
      <w:r w:rsidRPr="005904BC">
        <w:rPr>
          <w:sz w:val="20"/>
          <w:szCs w:val="20"/>
        </w:rPr>
        <w:t>ekspertiz</w:t>
      </w:r>
      <w:proofErr w:type="gramEnd"/>
      <w:r w:rsidRPr="005904BC">
        <w:rPr>
          <w:sz w:val="20"/>
          <w:szCs w:val="20"/>
        </w:rPr>
        <w:t xml:space="preserve"> değerlerinden daha yüksek, satım ve kiralama işlemlerinde ise ekspertiz değerinden daha düşük değerler esas alınırsa, bu durumun Kurulun özel durumların kamuya açıklanmasına ilişkin </w:t>
      </w:r>
      <w:proofErr w:type="spellStart"/>
      <w:r w:rsidRPr="005904BC">
        <w:rPr>
          <w:sz w:val="20"/>
          <w:szCs w:val="20"/>
        </w:rPr>
        <w:t>düzenlemeleriçerçevesinde</w:t>
      </w:r>
      <w:proofErr w:type="spellEnd"/>
      <w:r w:rsidRPr="005904BC">
        <w:rPr>
          <w:sz w:val="20"/>
          <w:szCs w:val="20"/>
        </w:rPr>
        <w:t xml:space="preserve"> kamuya açıklanması ve yapılacak ilk genel kurul toplantısının gündemine alınarak ortaklara bilgi verilmesi zorunludur.</w:t>
      </w:r>
    </w:p>
    <w:p w:rsidR="005904BC" w:rsidRPr="005904BC" w:rsidRDefault="005904BC" w:rsidP="005904BC">
      <w:pPr>
        <w:pStyle w:val="NormalWeb"/>
        <w:rPr>
          <w:sz w:val="20"/>
          <w:szCs w:val="20"/>
        </w:rPr>
      </w:pPr>
      <w:r w:rsidRPr="005904BC">
        <w:rPr>
          <w:sz w:val="20"/>
          <w:szCs w:val="20"/>
        </w:rPr>
        <w:t>(2) Ortaklık portföyündeki varlıkların uzun süreli kiralama sözleşmesine konu edilmeleri durumunda, beş yıllık dönemler itibarıyla kira </w:t>
      </w:r>
      <w:proofErr w:type="gramStart"/>
      <w:r w:rsidRPr="005904BC">
        <w:rPr>
          <w:sz w:val="20"/>
          <w:szCs w:val="20"/>
        </w:rPr>
        <w:t>ekspertiz</w:t>
      </w:r>
      <w:proofErr w:type="gramEnd"/>
      <w:r w:rsidRPr="005904BC">
        <w:rPr>
          <w:sz w:val="20"/>
          <w:szCs w:val="20"/>
        </w:rPr>
        <w:t> değerleri 36 </w:t>
      </w:r>
      <w:proofErr w:type="spellStart"/>
      <w:r w:rsidRPr="005904BC">
        <w:rPr>
          <w:sz w:val="20"/>
          <w:szCs w:val="20"/>
        </w:rPr>
        <w:t>ncı</w:t>
      </w:r>
      <w:proofErr w:type="spellEnd"/>
      <w:r w:rsidRPr="005904BC">
        <w:rPr>
          <w:sz w:val="20"/>
          <w:szCs w:val="20"/>
        </w:rPr>
        <w:t xml:space="preserve"> madde kapsamında hazırlanacak bir değerleme raporu ile tespit ettirilir ve ekspertiz değerinden düşük kiralama işlemi söz konusu ise, bu durum Kurulun özel durumların kamuya açıklanmasına ilişkin düzenlemeleri çerçevesinde kamuya açıklanır ve yapılacak ilk genel kurul toplantısının gündemine alınarak ortaklara bilgi verilir.” </w:t>
      </w:r>
    </w:p>
    <w:p w:rsidR="005904BC" w:rsidRPr="005904BC" w:rsidRDefault="005904BC" w:rsidP="005904BC">
      <w:pPr>
        <w:pStyle w:val="NormalWeb"/>
        <w:rPr>
          <w:sz w:val="20"/>
          <w:szCs w:val="20"/>
        </w:rPr>
      </w:pPr>
      <w:r w:rsidRPr="005904BC">
        <w:rPr>
          <w:rStyle w:val="Gl"/>
          <w:sz w:val="20"/>
          <w:szCs w:val="20"/>
        </w:rPr>
        <w:t>MADDE 34 –</w:t>
      </w:r>
      <w:r w:rsidRPr="005904BC">
        <w:rPr>
          <w:sz w:val="20"/>
          <w:szCs w:val="20"/>
        </w:rPr>
        <w:t> Aynı Tebliğin 38 inci maddesi aşağıdaki şekilde değiştirilmiştir.</w:t>
      </w:r>
    </w:p>
    <w:p w:rsidR="005904BC" w:rsidRPr="005904BC" w:rsidRDefault="005904BC" w:rsidP="005904BC">
      <w:pPr>
        <w:pStyle w:val="NormalWeb"/>
        <w:rPr>
          <w:sz w:val="20"/>
          <w:szCs w:val="20"/>
        </w:rPr>
      </w:pPr>
      <w:r w:rsidRPr="005904BC">
        <w:rPr>
          <w:rStyle w:val="Gl"/>
          <w:sz w:val="20"/>
          <w:szCs w:val="20"/>
        </w:rPr>
        <w:t>“MADDE 38 –</w:t>
      </w:r>
      <w:r w:rsidRPr="005904BC">
        <w:rPr>
          <w:sz w:val="20"/>
          <w:szCs w:val="20"/>
        </w:rPr>
        <w:t> (1) Ortaklıkların, finansal tablolarının hazırlanmasında ve kamuya açıklanmasında, Kurulun finansal raporlamaya ilişkin genel düzenlemelerine uyulur.</w:t>
      </w:r>
    </w:p>
    <w:p w:rsidR="005904BC" w:rsidRPr="005904BC" w:rsidRDefault="005904BC" w:rsidP="005904BC">
      <w:pPr>
        <w:pStyle w:val="NormalWeb"/>
        <w:rPr>
          <w:sz w:val="20"/>
          <w:szCs w:val="20"/>
        </w:rPr>
      </w:pPr>
      <w:r w:rsidRPr="005904BC">
        <w:rPr>
          <w:sz w:val="20"/>
          <w:szCs w:val="20"/>
        </w:rPr>
        <w:t>(2) Konsolide olmayan veya bireysel finansal tablolarda, bu Tebliğde belirtilen </w:t>
      </w:r>
      <w:proofErr w:type="gramStart"/>
      <w:r w:rsidRPr="005904BC">
        <w:rPr>
          <w:sz w:val="20"/>
          <w:szCs w:val="20"/>
        </w:rPr>
        <w:t>portföy</w:t>
      </w:r>
      <w:proofErr w:type="gramEnd"/>
      <w:r w:rsidRPr="005904BC">
        <w:rPr>
          <w:sz w:val="20"/>
          <w:szCs w:val="20"/>
        </w:rPr>
        <w:t xml:space="preserve"> sınırlamalarının kontrolüne ilişkin bilgilere, Ek’te yer alan dipnot formatı ve buna ilişkin açıklamalar çerçevesinde Kurulca belirlenen şekilde yer verilir.” </w:t>
      </w:r>
    </w:p>
    <w:p w:rsidR="005904BC" w:rsidRPr="005904BC" w:rsidRDefault="005904BC" w:rsidP="005904BC">
      <w:pPr>
        <w:pStyle w:val="NormalWeb"/>
        <w:rPr>
          <w:sz w:val="20"/>
          <w:szCs w:val="20"/>
        </w:rPr>
      </w:pPr>
      <w:r w:rsidRPr="005904BC">
        <w:rPr>
          <w:rStyle w:val="Gl"/>
          <w:sz w:val="20"/>
          <w:szCs w:val="20"/>
        </w:rPr>
        <w:t>MADDE 35 – </w:t>
      </w:r>
      <w:r w:rsidRPr="005904BC">
        <w:rPr>
          <w:sz w:val="20"/>
          <w:szCs w:val="20"/>
        </w:rPr>
        <w:t>Aynı Tebliğin 39 uncu maddesi aşağıdaki şekilde değiştirilmiştir.</w:t>
      </w:r>
    </w:p>
    <w:p w:rsidR="005904BC" w:rsidRPr="005904BC" w:rsidRDefault="005904BC" w:rsidP="005904BC">
      <w:pPr>
        <w:pStyle w:val="NormalWeb"/>
        <w:rPr>
          <w:sz w:val="20"/>
          <w:szCs w:val="20"/>
        </w:rPr>
      </w:pPr>
      <w:r w:rsidRPr="005904BC">
        <w:rPr>
          <w:rStyle w:val="Gl"/>
          <w:sz w:val="20"/>
          <w:szCs w:val="20"/>
        </w:rPr>
        <w:t>“MADDE 39 –</w:t>
      </w:r>
      <w:r w:rsidRPr="005904BC">
        <w:rPr>
          <w:sz w:val="20"/>
          <w:szCs w:val="20"/>
        </w:rPr>
        <w:t> (1) Ortaklıklarca, Kurul düzenlemeleri çerçevesinde hazırlanan yönetim kurulu faaliyet raporlarında ayrıca;</w:t>
      </w:r>
    </w:p>
    <w:p w:rsidR="005904BC" w:rsidRPr="005904BC" w:rsidRDefault="005904BC" w:rsidP="005904BC">
      <w:pPr>
        <w:pStyle w:val="NormalWeb"/>
        <w:rPr>
          <w:sz w:val="20"/>
          <w:szCs w:val="20"/>
        </w:rPr>
      </w:pPr>
      <w:r w:rsidRPr="005904BC">
        <w:rPr>
          <w:sz w:val="20"/>
          <w:szCs w:val="20"/>
        </w:rPr>
        <w:t>a) Portföyde yer alan varlıklara ilişkin olarak hazırlanan değerleme raporlarının özetine,</w:t>
      </w:r>
    </w:p>
    <w:p w:rsidR="005904BC" w:rsidRPr="005904BC" w:rsidRDefault="005904BC" w:rsidP="005904BC">
      <w:pPr>
        <w:pStyle w:val="NormalWeb"/>
        <w:rPr>
          <w:sz w:val="20"/>
          <w:szCs w:val="20"/>
        </w:rPr>
      </w:pPr>
      <w:r w:rsidRPr="005904BC">
        <w:rPr>
          <w:sz w:val="20"/>
          <w:szCs w:val="20"/>
        </w:rPr>
        <w:t>b) Son üç aylık döneme ilişkin gelişmelerin özetine,</w:t>
      </w:r>
    </w:p>
    <w:p w:rsidR="005904BC" w:rsidRPr="005904BC" w:rsidRDefault="005904BC" w:rsidP="005904BC">
      <w:pPr>
        <w:pStyle w:val="NormalWeb"/>
        <w:rPr>
          <w:sz w:val="20"/>
          <w:szCs w:val="20"/>
        </w:rPr>
      </w:pPr>
      <w:r w:rsidRPr="005904BC">
        <w:rPr>
          <w:sz w:val="20"/>
          <w:szCs w:val="20"/>
        </w:rPr>
        <w:t>c) Projelere ilişkin mevcut durum, tamamlanma oranı ve süresi, öngörülerin gerçekleşme durumu, sorunlar gibi ilave açıklamalara,</w:t>
      </w:r>
    </w:p>
    <w:p w:rsidR="005904BC" w:rsidRPr="005904BC" w:rsidRDefault="005904BC" w:rsidP="005904BC">
      <w:pPr>
        <w:pStyle w:val="NormalWeb"/>
        <w:rPr>
          <w:sz w:val="20"/>
          <w:szCs w:val="20"/>
        </w:rPr>
      </w:pPr>
      <w:r w:rsidRPr="005904BC">
        <w:rPr>
          <w:sz w:val="20"/>
          <w:szCs w:val="20"/>
        </w:rPr>
        <w:t>ç) Portföyde yer alan varlıklardan kiraya verilenler ile ilgili ayrıntılı bilgilere,</w:t>
      </w:r>
    </w:p>
    <w:p w:rsidR="005904BC" w:rsidRPr="005904BC" w:rsidRDefault="005904BC" w:rsidP="005904BC">
      <w:pPr>
        <w:pStyle w:val="NormalWeb"/>
        <w:rPr>
          <w:sz w:val="20"/>
          <w:szCs w:val="20"/>
        </w:rPr>
      </w:pPr>
      <w:r w:rsidRPr="005904BC">
        <w:rPr>
          <w:sz w:val="20"/>
          <w:szCs w:val="20"/>
        </w:rPr>
        <w:t>d) Ortaklığın ilgili hesap dönemine ait karşılaştırmalı finansal tablolarına,</w:t>
      </w:r>
    </w:p>
    <w:p w:rsidR="005904BC" w:rsidRPr="005904BC" w:rsidRDefault="005904BC" w:rsidP="005904BC">
      <w:pPr>
        <w:pStyle w:val="NormalWeb"/>
        <w:rPr>
          <w:sz w:val="20"/>
          <w:szCs w:val="20"/>
        </w:rPr>
      </w:pPr>
      <w:r w:rsidRPr="005904BC">
        <w:rPr>
          <w:sz w:val="20"/>
          <w:szCs w:val="20"/>
        </w:rPr>
        <w:t>e) 38 inci maddenin ikinci fıkrası kapsamında tespit edilen </w:t>
      </w:r>
      <w:proofErr w:type="gramStart"/>
      <w:r w:rsidRPr="005904BC">
        <w:rPr>
          <w:sz w:val="20"/>
          <w:szCs w:val="20"/>
        </w:rPr>
        <w:t>portföy</w:t>
      </w:r>
      <w:proofErr w:type="gramEnd"/>
      <w:r w:rsidRPr="005904BC">
        <w:rPr>
          <w:sz w:val="20"/>
          <w:szCs w:val="20"/>
        </w:rPr>
        <w:t> sınırlamalarının kontrolüne ilişkin bilgilere,</w:t>
      </w:r>
    </w:p>
    <w:p w:rsidR="005904BC" w:rsidRPr="005904BC" w:rsidRDefault="005904BC" w:rsidP="005904BC">
      <w:pPr>
        <w:pStyle w:val="NormalWeb"/>
        <w:rPr>
          <w:sz w:val="20"/>
          <w:szCs w:val="20"/>
        </w:rPr>
      </w:pPr>
      <w:r w:rsidRPr="005904BC">
        <w:rPr>
          <w:sz w:val="20"/>
          <w:szCs w:val="20"/>
        </w:rPr>
        <w:t>f) Münhasıran altyapı yatırım ve hizmetlerinden oluşan </w:t>
      </w:r>
      <w:proofErr w:type="gramStart"/>
      <w:r w:rsidRPr="005904BC">
        <w:rPr>
          <w:sz w:val="20"/>
          <w:szCs w:val="20"/>
        </w:rPr>
        <w:t>portföyü</w:t>
      </w:r>
      <w:proofErr w:type="gramEnd"/>
      <w:r w:rsidRPr="005904BC">
        <w:rPr>
          <w:sz w:val="20"/>
          <w:szCs w:val="20"/>
        </w:rPr>
        <w:t> işletecek ortaklıklar tarafından ayrıca portföylerinde yer alan altyapı yatırım ve hizmetlerine ilişkin olarak;</w:t>
      </w:r>
    </w:p>
    <w:p w:rsidR="005904BC" w:rsidRPr="005904BC" w:rsidRDefault="005904BC" w:rsidP="005904BC">
      <w:pPr>
        <w:pStyle w:val="NormalWeb"/>
        <w:rPr>
          <w:sz w:val="20"/>
          <w:szCs w:val="20"/>
        </w:rPr>
      </w:pPr>
      <w:r w:rsidRPr="005904BC">
        <w:rPr>
          <w:sz w:val="20"/>
          <w:szCs w:val="20"/>
        </w:rPr>
        <w:t>1) Kamu özel sektör ortaklığı ile yapılan projelerde kamunun ve özel sektörün hakları, yükümlülükleri, risk ve yarar paylaşım süreçlerine,</w:t>
      </w:r>
    </w:p>
    <w:p w:rsidR="005904BC" w:rsidRPr="005904BC" w:rsidRDefault="005904BC" w:rsidP="005904BC">
      <w:pPr>
        <w:pStyle w:val="NormalWeb"/>
        <w:rPr>
          <w:sz w:val="20"/>
          <w:szCs w:val="20"/>
        </w:rPr>
      </w:pPr>
      <w:r w:rsidRPr="005904BC">
        <w:rPr>
          <w:sz w:val="20"/>
          <w:szCs w:val="20"/>
        </w:rPr>
        <w:t>2) Yatırımın kamuya devir esaslarına,</w:t>
      </w:r>
    </w:p>
    <w:p w:rsidR="005904BC" w:rsidRPr="005904BC" w:rsidRDefault="005904BC" w:rsidP="005904BC">
      <w:pPr>
        <w:pStyle w:val="NormalWeb"/>
        <w:rPr>
          <w:sz w:val="20"/>
          <w:szCs w:val="20"/>
        </w:rPr>
      </w:pPr>
      <w:r w:rsidRPr="005904BC">
        <w:rPr>
          <w:sz w:val="20"/>
          <w:szCs w:val="20"/>
        </w:rPr>
        <w:t>3) Projelere ilişkin finansman kaynakları, varsa kamu garantileri, destekleri, ödeme planlarına ilişkin esaslara,</w:t>
      </w:r>
    </w:p>
    <w:p w:rsidR="005904BC" w:rsidRPr="005904BC" w:rsidRDefault="005904BC" w:rsidP="005904BC">
      <w:pPr>
        <w:pStyle w:val="NormalWeb"/>
        <w:rPr>
          <w:sz w:val="20"/>
          <w:szCs w:val="20"/>
        </w:rPr>
      </w:pPr>
      <w:r w:rsidRPr="005904BC">
        <w:rPr>
          <w:sz w:val="20"/>
          <w:szCs w:val="20"/>
        </w:rPr>
        <w:t>4) Projelerin gerçekleşme planları, fizibilite raporları, nakit akımlarına ilişkin genel değerlendirmelere,</w:t>
      </w:r>
    </w:p>
    <w:p w:rsidR="005904BC" w:rsidRPr="005904BC" w:rsidRDefault="005904BC" w:rsidP="005904BC">
      <w:pPr>
        <w:pStyle w:val="NormalWeb"/>
        <w:rPr>
          <w:sz w:val="20"/>
          <w:szCs w:val="20"/>
        </w:rPr>
      </w:pPr>
      <w:r w:rsidRPr="005904BC">
        <w:rPr>
          <w:sz w:val="20"/>
          <w:szCs w:val="20"/>
        </w:rPr>
        <w:t>5) Proje ile ilgili olabilecek sosyal ve ekonomik taraflara</w:t>
      </w:r>
    </w:p>
    <w:p w:rsidR="005904BC" w:rsidRPr="005904BC" w:rsidRDefault="005904BC" w:rsidP="005904BC">
      <w:pPr>
        <w:pStyle w:val="NormalWeb"/>
        <w:rPr>
          <w:sz w:val="20"/>
          <w:szCs w:val="20"/>
        </w:rPr>
      </w:pPr>
      <w:proofErr w:type="gramStart"/>
      <w:r w:rsidRPr="005904BC">
        <w:rPr>
          <w:sz w:val="20"/>
          <w:szCs w:val="20"/>
        </w:rPr>
        <w:lastRenderedPageBreak/>
        <w:t>yer</w:t>
      </w:r>
      <w:proofErr w:type="gramEnd"/>
      <w:r w:rsidRPr="005904BC">
        <w:rPr>
          <w:sz w:val="20"/>
          <w:szCs w:val="20"/>
        </w:rPr>
        <w:t> verilir.</w:t>
      </w:r>
    </w:p>
    <w:p w:rsidR="005904BC" w:rsidRPr="005904BC" w:rsidRDefault="005904BC" w:rsidP="005904BC">
      <w:pPr>
        <w:pStyle w:val="NormalWeb"/>
        <w:rPr>
          <w:sz w:val="20"/>
          <w:szCs w:val="20"/>
        </w:rPr>
      </w:pPr>
      <w:r w:rsidRPr="005904BC">
        <w:rPr>
          <w:sz w:val="20"/>
          <w:szCs w:val="20"/>
        </w:rPr>
        <w:t>(2) </w:t>
      </w:r>
      <w:proofErr w:type="gramStart"/>
      <w:r w:rsidRPr="005904BC">
        <w:rPr>
          <w:sz w:val="20"/>
          <w:szCs w:val="20"/>
        </w:rPr>
        <w:t>Yönetim kurulu</w:t>
      </w:r>
      <w:proofErr w:type="gramEnd"/>
      <w:r w:rsidRPr="005904BC">
        <w:rPr>
          <w:sz w:val="20"/>
          <w:szCs w:val="20"/>
        </w:rPr>
        <w:t xml:space="preserve"> faaliyet raporları Kurul düzenlemelerinde belirtilen sürelerde ve şekilde kamuya açıklanır. Söz konusu rapor aynı zamanda ortaklık merkezinde ve internet sitesinde yatırımcıların incelemesi için hazır bulundurulur. Ayrıca talep etmeleri halinde masrafları ortaklarca karşılanmak üzere ortaklara da gönderilir. Yönetim kurulu faaliyet raporları en az on yıl süreyle ortaklık nezdinde saklanır.” </w:t>
      </w:r>
    </w:p>
    <w:p w:rsidR="005904BC" w:rsidRPr="005904BC" w:rsidRDefault="005904BC" w:rsidP="005904BC">
      <w:pPr>
        <w:pStyle w:val="NormalWeb"/>
        <w:rPr>
          <w:sz w:val="20"/>
          <w:szCs w:val="20"/>
        </w:rPr>
      </w:pPr>
      <w:r w:rsidRPr="005904BC">
        <w:rPr>
          <w:rStyle w:val="Gl"/>
          <w:sz w:val="20"/>
          <w:szCs w:val="20"/>
        </w:rPr>
        <w:t>MADDE 36 – </w:t>
      </w:r>
      <w:r w:rsidRPr="005904BC">
        <w:rPr>
          <w:sz w:val="20"/>
          <w:szCs w:val="20"/>
        </w:rPr>
        <w:t>Aynı Tebliğin 40 </w:t>
      </w:r>
      <w:proofErr w:type="spellStart"/>
      <w:r w:rsidRPr="005904BC">
        <w:rPr>
          <w:sz w:val="20"/>
          <w:szCs w:val="20"/>
        </w:rPr>
        <w:t>ıncı</w:t>
      </w:r>
      <w:proofErr w:type="spellEnd"/>
      <w:r w:rsidRPr="005904BC">
        <w:rPr>
          <w:sz w:val="20"/>
          <w:szCs w:val="20"/>
        </w:rPr>
        <w:t> maddesi aşağıdaki gibi değiştirilmiştir.</w:t>
      </w:r>
    </w:p>
    <w:p w:rsidR="005904BC" w:rsidRPr="005904BC" w:rsidRDefault="005904BC" w:rsidP="005904BC">
      <w:pPr>
        <w:pStyle w:val="NormalWeb"/>
        <w:rPr>
          <w:sz w:val="20"/>
          <w:szCs w:val="20"/>
        </w:rPr>
      </w:pPr>
      <w:r w:rsidRPr="005904BC">
        <w:rPr>
          <w:rStyle w:val="Gl"/>
          <w:sz w:val="20"/>
          <w:szCs w:val="20"/>
        </w:rPr>
        <w:t>“MADDE 40 –</w:t>
      </w:r>
      <w:r w:rsidRPr="005904BC">
        <w:rPr>
          <w:sz w:val="20"/>
          <w:szCs w:val="20"/>
        </w:rPr>
        <w:t> (1) Ortaklıklar;</w:t>
      </w:r>
    </w:p>
    <w:p w:rsidR="005904BC" w:rsidRPr="005904BC" w:rsidRDefault="005904BC" w:rsidP="005904BC">
      <w:pPr>
        <w:pStyle w:val="NormalWeb"/>
        <w:rPr>
          <w:sz w:val="20"/>
          <w:szCs w:val="20"/>
        </w:rPr>
      </w:pPr>
      <w:r w:rsidRPr="005904BC">
        <w:rPr>
          <w:sz w:val="20"/>
          <w:szCs w:val="20"/>
        </w:rPr>
        <w:t>a) Bu Tebliğ hükümleri uyarınca veya ihtiyari olarak hazırlanan ortaklık </w:t>
      </w:r>
      <w:proofErr w:type="gramStart"/>
      <w:r w:rsidRPr="005904BC">
        <w:rPr>
          <w:sz w:val="20"/>
          <w:szCs w:val="20"/>
        </w:rPr>
        <w:t>portföyünde</w:t>
      </w:r>
      <w:proofErr w:type="gramEnd"/>
      <w:r w:rsidRPr="005904BC">
        <w:rPr>
          <w:sz w:val="20"/>
          <w:szCs w:val="20"/>
        </w:rPr>
        <w:t> yer alan varlıklara ilişkin değerleme raporlarını ekleriyle birlikte, kendilerine teslimini,</w:t>
      </w:r>
    </w:p>
    <w:p w:rsidR="005904BC" w:rsidRPr="005904BC" w:rsidRDefault="005904BC" w:rsidP="005904BC">
      <w:pPr>
        <w:pStyle w:val="NormalWeb"/>
        <w:rPr>
          <w:sz w:val="20"/>
          <w:szCs w:val="20"/>
        </w:rPr>
      </w:pPr>
      <w:r w:rsidRPr="005904BC">
        <w:rPr>
          <w:sz w:val="20"/>
          <w:szCs w:val="20"/>
        </w:rPr>
        <w:t>b) Gayrimenkullerin, gayrimenkule dayalı hakların, gayrimenkul projelerinin, altyapı yatırım ve hizmetlerin ve iştirak paylarının portföye </w:t>
      </w:r>
      <w:proofErr w:type="gramStart"/>
      <w:r w:rsidRPr="005904BC">
        <w:rPr>
          <w:sz w:val="20"/>
          <w:szCs w:val="20"/>
        </w:rPr>
        <w:t>dahil</w:t>
      </w:r>
      <w:proofErr w:type="gramEnd"/>
      <w:r w:rsidRPr="005904BC">
        <w:rPr>
          <w:sz w:val="20"/>
          <w:szCs w:val="20"/>
        </w:rPr>
        <w:t> edilmesi veya portföyden çıkarılmasına ilişkin yönetim kurulu kararını, alınmasını,</w:t>
      </w:r>
    </w:p>
    <w:p w:rsidR="005904BC" w:rsidRPr="005904BC" w:rsidRDefault="005904BC" w:rsidP="005904BC">
      <w:pPr>
        <w:pStyle w:val="NormalWeb"/>
        <w:rPr>
          <w:sz w:val="20"/>
          <w:szCs w:val="20"/>
        </w:rPr>
      </w:pPr>
      <w:r w:rsidRPr="005904BC">
        <w:rPr>
          <w:sz w:val="20"/>
          <w:szCs w:val="20"/>
        </w:rPr>
        <w:t>c) Projelere ilişkin fizibilite raporunu, projeye ilişkin yasal izinlerin alınmasını,</w:t>
      </w:r>
    </w:p>
    <w:p w:rsidR="005904BC" w:rsidRPr="005904BC" w:rsidRDefault="005904BC" w:rsidP="005904BC">
      <w:pPr>
        <w:pStyle w:val="NormalWeb"/>
        <w:rPr>
          <w:sz w:val="20"/>
          <w:szCs w:val="20"/>
        </w:rPr>
      </w:pPr>
      <w:r w:rsidRPr="005904BC">
        <w:rPr>
          <w:sz w:val="20"/>
          <w:szCs w:val="20"/>
        </w:rPr>
        <w:t>ç) 26 </w:t>
      </w:r>
      <w:proofErr w:type="spellStart"/>
      <w:r w:rsidRPr="005904BC">
        <w:rPr>
          <w:sz w:val="20"/>
          <w:szCs w:val="20"/>
        </w:rPr>
        <w:t>ncı</w:t>
      </w:r>
      <w:proofErr w:type="spellEnd"/>
      <w:r w:rsidRPr="005904BC">
        <w:rPr>
          <w:sz w:val="20"/>
          <w:szCs w:val="20"/>
        </w:rPr>
        <w:t> madde kapsamında imzaladıkları sözleşmeleri, imzalanmasını,</w:t>
      </w:r>
    </w:p>
    <w:p w:rsidR="005904BC" w:rsidRPr="005904BC" w:rsidRDefault="005904BC" w:rsidP="005904BC">
      <w:pPr>
        <w:pStyle w:val="NormalWeb"/>
        <w:rPr>
          <w:sz w:val="20"/>
          <w:szCs w:val="20"/>
        </w:rPr>
      </w:pPr>
      <w:proofErr w:type="gramStart"/>
      <w:r w:rsidRPr="005904BC">
        <w:rPr>
          <w:sz w:val="20"/>
          <w:szCs w:val="20"/>
        </w:rPr>
        <w:t>d) 22 </w:t>
      </w:r>
      <w:proofErr w:type="spellStart"/>
      <w:r w:rsidRPr="005904BC">
        <w:rPr>
          <w:sz w:val="20"/>
          <w:szCs w:val="20"/>
        </w:rPr>
        <w:t>nci</w:t>
      </w:r>
      <w:proofErr w:type="spellEnd"/>
      <w:r w:rsidRPr="005904BC">
        <w:rPr>
          <w:sz w:val="20"/>
          <w:szCs w:val="20"/>
        </w:rPr>
        <w:t xml:space="preserve"> maddenin (e) bendi uyarınca üzerinde proje geliştirilecek her bir ipotekli arsanın ipotek bedelinin, ilgili arsa için en son hazırlanan değerleme raporunda ulaşılan arsa değerine oranını ve bu kapsamdaki ipotekli arsaların ipotek bedellerinin toplamının ortaklığın kamuya açıkladığı bağımsız denetimden geçmiş son finansal tablosunda yer alan aktif toplamına oranını gösterir bilgileri, sözleşmelerin imzalanmasını, </w:t>
      </w:r>
      <w:proofErr w:type="gramEnd"/>
    </w:p>
    <w:p w:rsidR="005904BC" w:rsidRPr="005904BC" w:rsidRDefault="005904BC" w:rsidP="005904BC">
      <w:pPr>
        <w:pStyle w:val="NormalWeb"/>
        <w:rPr>
          <w:sz w:val="20"/>
          <w:szCs w:val="20"/>
        </w:rPr>
      </w:pPr>
      <w:r w:rsidRPr="005904BC">
        <w:rPr>
          <w:sz w:val="20"/>
          <w:szCs w:val="20"/>
        </w:rPr>
        <w:t>e) Sigorta sözleşmelerini, hesap dönemi bitimini</w:t>
      </w:r>
    </w:p>
    <w:p w:rsidR="005904BC" w:rsidRPr="005904BC" w:rsidRDefault="005904BC" w:rsidP="005904BC">
      <w:pPr>
        <w:pStyle w:val="NormalWeb"/>
        <w:rPr>
          <w:sz w:val="20"/>
          <w:szCs w:val="20"/>
        </w:rPr>
      </w:pPr>
      <w:proofErr w:type="gramStart"/>
      <w:r w:rsidRPr="005904BC">
        <w:rPr>
          <w:sz w:val="20"/>
          <w:szCs w:val="20"/>
        </w:rPr>
        <w:t>takip</w:t>
      </w:r>
      <w:proofErr w:type="gramEnd"/>
      <w:r w:rsidRPr="005904BC">
        <w:rPr>
          <w:sz w:val="20"/>
          <w:szCs w:val="20"/>
        </w:rPr>
        <w:t> eden üç iş günü içinde Kurula göndermek zorundadır. Kurul, söz konusu bilgi ve belgelerin Kurulca belirlenecek kurallar çerçevesinde elektronik ortamda ilan edilmesini yeterli görebilir.</w:t>
      </w:r>
    </w:p>
    <w:p w:rsidR="005904BC" w:rsidRPr="005904BC" w:rsidRDefault="005904BC" w:rsidP="005904BC">
      <w:pPr>
        <w:pStyle w:val="NormalWeb"/>
        <w:rPr>
          <w:sz w:val="20"/>
          <w:szCs w:val="20"/>
        </w:rPr>
      </w:pPr>
      <w:r w:rsidRPr="005904BC">
        <w:rPr>
          <w:sz w:val="20"/>
          <w:szCs w:val="20"/>
        </w:rPr>
        <w:t>(2) 34 üncü madde uyarınca hazırlanan değerleme raporlarının, ekleri hariç, kendilerine teslimini takip eden üç işgünü içinde; 38 inci maddenin birinci ve ikinci fıkralarında sayılan finansal tabloların ise Kurulun finansal tablolarına ilişkin düzenlemelerinde belirtilen sürelerde </w:t>
      </w:r>
      <w:proofErr w:type="spellStart"/>
      <w:r w:rsidRPr="005904BC">
        <w:rPr>
          <w:sz w:val="20"/>
          <w:szCs w:val="20"/>
        </w:rPr>
        <w:t>KAP’ta</w:t>
      </w:r>
      <w:proofErr w:type="spellEnd"/>
      <w:r w:rsidRPr="005904BC">
        <w:rPr>
          <w:sz w:val="20"/>
          <w:szCs w:val="20"/>
        </w:rPr>
        <w:t> ilan edilmesi zorunludur. Bu raporların birer örnekleri ortaklık merkezinde yatırımcıların incelemesi için hazır bulundurulur, talep etmeleri halinde masrafları ortaklarca karşılanmak üzere ortaklara da gönderilir.</w:t>
      </w:r>
    </w:p>
    <w:p w:rsidR="005904BC" w:rsidRPr="005904BC" w:rsidRDefault="005904BC" w:rsidP="005904BC">
      <w:pPr>
        <w:pStyle w:val="NormalWeb"/>
        <w:rPr>
          <w:sz w:val="20"/>
          <w:szCs w:val="20"/>
        </w:rPr>
      </w:pPr>
      <w:r w:rsidRPr="005904BC">
        <w:rPr>
          <w:sz w:val="20"/>
          <w:szCs w:val="20"/>
        </w:rPr>
        <w:t>(3) Kurulun özel durumların kamuya açıklanmasına ilişkin düzenlemeleri çerçevesinde kamuya duyurmakla yükümlü oldukları hususlara ek olarak ortaklıklar;</w:t>
      </w:r>
    </w:p>
    <w:p w:rsidR="005904BC" w:rsidRPr="005904BC" w:rsidRDefault="005904BC" w:rsidP="005904BC">
      <w:pPr>
        <w:pStyle w:val="NormalWeb"/>
        <w:rPr>
          <w:sz w:val="20"/>
          <w:szCs w:val="20"/>
        </w:rPr>
      </w:pPr>
      <w:r w:rsidRPr="005904BC">
        <w:rPr>
          <w:sz w:val="20"/>
          <w:szCs w:val="20"/>
        </w:rPr>
        <w:t>a) Birinci fıkranın (c), (ç) ve (d) bentleri kapsamına giren işlemlerini konuya ilişkin olarak Kurula yapılacak bildirimle eş zamanlı olarak,</w:t>
      </w:r>
    </w:p>
    <w:p w:rsidR="005904BC" w:rsidRPr="005904BC" w:rsidRDefault="005904BC" w:rsidP="005904BC">
      <w:pPr>
        <w:pStyle w:val="NormalWeb"/>
        <w:rPr>
          <w:sz w:val="20"/>
          <w:szCs w:val="20"/>
        </w:rPr>
      </w:pPr>
      <w:r w:rsidRPr="005904BC">
        <w:rPr>
          <w:sz w:val="20"/>
          <w:szCs w:val="20"/>
        </w:rPr>
        <w:t>b) 24 üncü maddenin birinci fıkrasının (ç) bendi kapsamına girip asgari oranları sağlayamamaları halinde bu durumun gerekçelerini ve bu durumun düzeltilmesi için uygulayacakları planlarını, hesap dönemi sonuna ilişkin finansal tablosunun kamuya açıklanmasını takip eden 3 iş günü içinde,</w:t>
      </w:r>
    </w:p>
    <w:p w:rsidR="005904BC" w:rsidRPr="005904BC" w:rsidRDefault="005904BC" w:rsidP="005904BC">
      <w:pPr>
        <w:pStyle w:val="NormalWeb"/>
        <w:rPr>
          <w:sz w:val="20"/>
          <w:szCs w:val="20"/>
        </w:rPr>
      </w:pPr>
      <w:r w:rsidRPr="005904BC">
        <w:rPr>
          <w:sz w:val="20"/>
          <w:szCs w:val="20"/>
        </w:rPr>
        <w:t>c) İlişkili taraflardan danışmanlık, işletmecilik veya inşaat hizmetleri alınması durumunda; alınan hizmetin türüne ve niteliğine, hizmet alınan şirkete, ortaklıkla hizmet alınan şirket arasındaki ilişkinin niteliğine, sözleşme tarihine, sözleşme süresine, hizmetin </w:t>
      </w:r>
      <w:proofErr w:type="gramStart"/>
      <w:r w:rsidRPr="005904BC">
        <w:rPr>
          <w:sz w:val="20"/>
          <w:szCs w:val="20"/>
        </w:rPr>
        <w:t>portföyde</w:t>
      </w:r>
      <w:proofErr w:type="gramEnd"/>
      <w:r w:rsidRPr="005904BC">
        <w:rPr>
          <w:sz w:val="20"/>
          <w:szCs w:val="20"/>
        </w:rPr>
        <w:t> yer alan hangi varlıklarla ilgili olduğuna ve ödenen ücrete ilişkin bilgileri, hizmet sözleşmesinin imzalanmasını takip eden 3 iş günü içinde,</w:t>
      </w:r>
    </w:p>
    <w:p w:rsidR="005904BC" w:rsidRPr="005904BC" w:rsidRDefault="005904BC" w:rsidP="005904BC">
      <w:pPr>
        <w:pStyle w:val="NormalWeb"/>
        <w:rPr>
          <w:sz w:val="20"/>
          <w:szCs w:val="20"/>
        </w:rPr>
      </w:pPr>
      <w:r w:rsidRPr="005904BC">
        <w:rPr>
          <w:sz w:val="20"/>
          <w:szCs w:val="20"/>
        </w:rPr>
        <w:t>ç) 37 </w:t>
      </w:r>
      <w:proofErr w:type="spellStart"/>
      <w:r w:rsidRPr="005904BC">
        <w:rPr>
          <w:sz w:val="20"/>
          <w:szCs w:val="20"/>
        </w:rPr>
        <w:t>nci</w:t>
      </w:r>
      <w:proofErr w:type="spellEnd"/>
      <w:r w:rsidRPr="005904BC">
        <w:rPr>
          <w:sz w:val="20"/>
          <w:szCs w:val="20"/>
        </w:rPr>
        <w:t> maddenin birinci fıkrası kapsamına giren işlemleri, alım, satım veya kiralama işleminin yapılmasını takip eden ilk iş günü içinde,</w:t>
      </w:r>
    </w:p>
    <w:p w:rsidR="005904BC" w:rsidRPr="005904BC" w:rsidRDefault="005904BC" w:rsidP="005904BC">
      <w:pPr>
        <w:pStyle w:val="NormalWeb"/>
        <w:rPr>
          <w:sz w:val="20"/>
          <w:szCs w:val="20"/>
        </w:rPr>
      </w:pPr>
      <w:r w:rsidRPr="005904BC">
        <w:rPr>
          <w:sz w:val="20"/>
          <w:szCs w:val="20"/>
        </w:rPr>
        <w:lastRenderedPageBreak/>
        <w:t>d) 37 </w:t>
      </w:r>
      <w:proofErr w:type="spellStart"/>
      <w:r w:rsidRPr="005904BC">
        <w:rPr>
          <w:sz w:val="20"/>
          <w:szCs w:val="20"/>
        </w:rPr>
        <w:t>nci</w:t>
      </w:r>
      <w:proofErr w:type="spellEnd"/>
      <w:r w:rsidRPr="005904BC">
        <w:rPr>
          <w:sz w:val="20"/>
          <w:szCs w:val="20"/>
        </w:rPr>
        <w:t> maddenin ikinci fıkrası kapsamına giren işlemleri, kira </w:t>
      </w:r>
      <w:proofErr w:type="gramStart"/>
      <w:r w:rsidRPr="005904BC">
        <w:rPr>
          <w:sz w:val="20"/>
          <w:szCs w:val="20"/>
        </w:rPr>
        <w:t>ekspertiz</w:t>
      </w:r>
      <w:proofErr w:type="gramEnd"/>
      <w:r w:rsidRPr="005904BC">
        <w:rPr>
          <w:sz w:val="20"/>
          <w:szCs w:val="20"/>
        </w:rPr>
        <w:t> değerinin tespitine yönelik olarak hazırlanan değerleme rapor tarihini takip eden üç iş günü içinde</w:t>
      </w:r>
    </w:p>
    <w:p w:rsidR="005904BC" w:rsidRPr="005904BC" w:rsidRDefault="005904BC" w:rsidP="005904BC">
      <w:pPr>
        <w:pStyle w:val="NormalWeb"/>
        <w:rPr>
          <w:sz w:val="20"/>
          <w:szCs w:val="20"/>
        </w:rPr>
      </w:pPr>
      <w:proofErr w:type="spellStart"/>
      <w:r w:rsidRPr="005904BC">
        <w:rPr>
          <w:sz w:val="20"/>
          <w:szCs w:val="20"/>
        </w:rPr>
        <w:t>KAP’ta</w:t>
      </w:r>
      <w:proofErr w:type="spellEnd"/>
      <w:r w:rsidRPr="005904BC">
        <w:rPr>
          <w:sz w:val="20"/>
          <w:szCs w:val="20"/>
        </w:rPr>
        <w:t> ilan ederler.</w:t>
      </w:r>
    </w:p>
    <w:p w:rsidR="005904BC" w:rsidRPr="005904BC" w:rsidRDefault="005904BC" w:rsidP="005904BC">
      <w:pPr>
        <w:pStyle w:val="NormalWeb"/>
        <w:rPr>
          <w:sz w:val="20"/>
          <w:szCs w:val="20"/>
        </w:rPr>
      </w:pPr>
      <w:r w:rsidRPr="005904BC">
        <w:rPr>
          <w:sz w:val="20"/>
          <w:szCs w:val="20"/>
        </w:rPr>
        <w:t>(4) Ortaklık gerek duyduğunda ortaklık değerini tespit ettirerek kamuya açıklayabilir. Ortaklık değerinin tespiti, Kurulun konuya ilişkin düzenlemeleri çerçevesinde hazırlanacak bir rapor ile yapılır ve bu değer ancak söz konusu raporla birlikte kamuya açıklanabilir. Bu şekilde kamuya açıklanacak ortaklık değerinin dışında, bu kapsamda değerlendirilebilecek başkaca bir değer açıklaması yapılamaz. Kurulun finansal raporlamaya ilişkin düzenlemeleri çerçevesinde finansal raporlardan türetilmiş özet bilgilerin kamuya açıklanması durumları saklıdır.</w:t>
      </w:r>
    </w:p>
    <w:p w:rsidR="005904BC" w:rsidRPr="005904BC" w:rsidRDefault="005904BC" w:rsidP="005904BC">
      <w:pPr>
        <w:pStyle w:val="NormalWeb"/>
        <w:rPr>
          <w:sz w:val="20"/>
          <w:szCs w:val="20"/>
        </w:rPr>
      </w:pPr>
      <w:proofErr w:type="gramStart"/>
      <w:r w:rsidRPr="005904BC">
        <w:rPr>
          <w:sz w:val="20"/>
          <w:szCs w:val="20"/>
        </w:rPr>
        <w:t>5) Ortaklıkların 28 inci madde kapsamındaki yatırımlara ilişkin alış ve satış işlemlerinde, Kurulun değerlemeye ilişkin düzenlemeleri çerçevesinde, Kurulca nitelikleri belirlenen kuruluşlara değerleme yaptırılması, değerleme sonuçlarına, satın alma veya satış tutarına, satın alma tutarının değerleme raporunda belirtilen tutarın üstünde ve satış tutarının değerleme raporunda belirtilen tutarın altında gerçekleşmesi durumunda bunun gerekçesine ilişkin olarak </w:t>
      </w:r>
      <w:proofErr w:type="spellStart"/>
      <w:r w:rsidRPr="005904BC">
        <w:rPr>
          <w:sz w:val="20"/>
          <w:szCs w:val="20"/>
        </w:rPr>
        <w:t>KAP’ta</w:t>
      </w:r>
      <w:proofErr w:type="spellEnd"/>
      <w:r w:rsidRPr="005904BC">
        <w:rPr>
          <w:sz w:val="20"/>
          <w:szCs w:val="20"/>
        </w:rPr>
        <w:t xml:space="preserve"> açıklama yapılması, satın alma tutarının değerleme raporunda belirtilen tutarın üstünde ve satış tutarının değerleme raporunda belirtilen tutarın altında gerçekleşmesi durumunda yapılacak ilk genel kurul toplantısının gündeminde yer verilerek bu hususların ortakların bilgisine sunulması zorunludur. </w:t>
      </w:r>
      <w:proofErr w:type="gramEnd"/>
    </w:p>
    <w:p w:rsidR="005904BC" w:rsidRPr="005904BC" w:rsidRDefault="005904BC" w:rsidP="005904BC">
      <w:pPr>
        <w:pStyle w:val="NormalWeb"/>
        <w:rPr>
          <w:sz w:val="20"/>
          <w:szCs w:val="20"/>
        </w:rPr>
      </w:pPr>
      <w:r w:rsidRPr="005904BC">
        <w:rPr>
          <w:sz w:val="20"/>
          <w:szCs w:val="20"/>
        </w:rPr>
        <w:t xml:space="preserve">(6) Ayrıca, ortaklığın gözetim ve denetimi ile kamunun etkin bir şekilde aydınlatılmasına yönelik olarak Kurulca talep edilecek her türlü bilgi ve belgenin Kurulca belirlenecek süre ve esaslar çerçevesinde gönderilmesi ve Kurulca gerekli görülen hususların kamuya duyurulması zorunludur.” </w:t>
      </w:r>
    </w:p>
    <w:p w:rsidR="005904BC" w:rsidRPr="005904BC" w:rsidRDefault="005904BC" w:rsidP="005904BC">
      <w:pPr>
        <w:pStyle w:val="NormalWeb"/>
        <w:rPr>
          <w:sz w:val="20"/>
          <w:szCs w:val="20"/>
        </w:rPr>
      </w:pPr>
      <w:r w:rsidRPr="005904BC">
        <w:rPr>
          <w:rStyle w:val="Gl"/>
          <w:sz w:val="20"/>
          <w:szCs w:val="20"/>
        </w:rPr>
        <w:t>MADDE 37 –</w:t>
      </w:r>
      <w:r w:rsidRPr="005904BC">
        <w:rPr>
          <w:sz w:val="20"/>
          <w:szCs w:val="20"/>
        </w:rPr>
        <w:t xml:space="preserve"> Aynı Tebliğin 44 üncü maddesinin üçüncü ve beşinci fıkraları aşağıdaki şekilde değiştirilmiş, </w:t>
      </w:r>
      <w:proofErr w:type="spellStart"/>
      <w:r w:rsidRPr="005904BC">
        <w:rPr>
          <w:sz w:val="20"/>
          <w:szCs w:val="20"/>
        </w:rPr>
        <w:t>aynımaddeye</w:t>
      </w:r>
      <w:proofErr w:type="spellEnd"/>
      <w:r w:rsidRPr="005904BC">
        <w:rPr>
          <w:sz w:val="20"/>
          <w:szCs w:val="20"/>
        </w:rPr>
        <w:t xml:space="preserve"> aşağıdaki altıncı fıkra eklenmiştir.</w:t>
      </w:r>
    </w:p>
    <w:p w:rsidR="005904BC" w:rsidRPr="005904BC" w:rsidRDefault="005904BC" w:rsidP="005904BC">
      <w:pPr>
        <w:pStyle w:val="NormalWeb"/>
        <w:rPr>
          <w:sz w:val="20"/>
          <w:szCs w:val="20"/>
        </w:rPr>
      </w:pPr>
      <w:proofErr w:type="gramStart"/>
      <w:r w:rsidRPr="005904BC">
        <w:rPr>
          <w:sz w:val="20"/>
          <w:szCs w:val="20"/>
        </w:rPr>
        <w:t xml:space="preserve">“(3) Payları borsada işlem gören halka açık ortaklıkların gayrimenkul yatırım ortaklıklarına dönüşümlerinde ve halka açık gayrimenkul yatırım ortaklıklarının gayrimenkul yatırım ortaklığı statüsünden çıkışlarında, dönüşüme ya da statüden çıkmaya ilişkin esas sözleşme değişikliklerinin tescil edildiği tarih itibarıyla, mevcut sermayede %10 ve üzeri pay sahibi olan ortaklar ile pay sahipliği oranına bağlı olmaksızın yönetim kontrolünü elinde bulunduran ortaklar sahip </w:t>
      </w:r>
      <w:proofErr w:type="spellStart"/>
      <w:r w:rsidRPr="005904BC">
        <w:rPr>
          <w:sz w:val="20"/>
          <w:szCs w:val="20"/>
        </w:rPr>
        <w:t>olduklarıpayları</w:t>
      </w:r>
      <w:proofErr w:type="spellEnd"/>
      <w:r w:rsidRPr="005904BC">
        <w:rPr>
          <w:sz w:val="20"/>
          <w:szCs w:val="20"/>
        </w:rPr>
        <w:t>, statüden çıkmaya ilişkin esas sözleşme değişikliklerinin tescil edildiği tarihten itibaren bir yıl süreyle tescil işleminin gerçekleştiği tarihteki Borsa ikinci seans kapanış fiyatının altındaki bir fiyattan Borsada satamazlar. </w:t>
      </w:r>
      <w:proofErr w:type="gramEnd"/>
      <w:r w:rsidRPr="005904BC">
        <w:rPr>
          <w:sz w:val="20"/>
          <w:szCs w:val="20"/>
        </w:rPr>
        <w:t xml:space="preserve">Söz konusu kişilerin Borsa dışında satacakları payları alanlar da bu sınırlamaya tabidir. Bu kişilerin ortaklığın paylarının statüden çıkmaya ilişkin esas sözleşme değişikliklerinin tescil edildiği tarihten sonra edindiği ortaklık payları, satış yasağının kapsamında değerlendirilmez.” </w:t>
      </w:r>
    </w:p>
    <w:p w:rsidR="005904BC" w:rsidRPr="005904BC" w:rsidRDefault="005904BC" w:rsidP="005904BC">
      <w:pPr>
        <w:pStyle w:val="NormalWeb"/>
        <w:rPr>
          <w:sz w:val="20"/>
          <w:szCs w:val="20"/>
        </w:rPr>
      </w:pPr>
      <w:r w:rsidRPr="005904BC">
        <w:rPr>
          <w:sz w:val="20"/>
          <w:szCs w:val="20"/>
        </w:rPr>
        <w:t>“(5) Gayrimenkul yatırım ortaklığı statüsünden çıkılmasına ilişkin Kurul izninin ortaklık tarafından tebellüğ edildiği tarihi takip eden üç ay içerisinde gayrimenkul yatırım ortaklığı statüsünden çıkma sonucunu doğuracak esas sözleşme değişikliklerinin ortaklık genel kurul toplantısında karara bağlanmaması halinde gayrimenkul yatırım ortaklığı </w:t>
      </w:r>
      <w:proofErr w:type="spellStart"/>
      <w:r w:rsidRPr="005904BC">
        <w:rPr>
          <w:sz w:val="20"/>
          <w:szCs w:val="20"/>
        </w:rPr>
        <w:t>statüsündençıkılmasına</w:t>
      </w:r>
      <w:proofErr w:type="spellEnd"/>
      <w:r w:rsidRPr="005904BC">
        <w:rPr>
          <w:sz w:val="20"/>
          <w:szCs w:val="20"/>
        </w:rPr>
        <w:t xml:space="preserve"> ilişkin Kurul izni geçersiz hale gelir.” </w:t>
      </w:r>
    </w:p>
    <w:p w:rsidR="005904BC" w:rsidRPr="005904BC" w:rsidRDefault="005904BC" w:rsidP="005904BC">
      <w:pPr>
        <w:pStyle w:val="NormalWeb"/>
        <w:rPr>
          <w:sz w:val="20"/>
          <w:szCs w:val="20"/>
        </w:rPr>
      </w:pPr>
      <w:r w:rsidRPr="005904BC">
        <w:rPr>
          <w:sz w:val="20"/>
          <w:szCs w:val="20"/>
        </w:rPr>
        <w:t xml:space="preserve">“(6) Bu madde kapsamında yapılacak işlemler bakımından ayrılma hakkı doğmaz.” </w:t>
      </w:r>
    </w:p>
    <w:p w:rsidR="005904BC" w:rsidRPr="005904BC" w:rsidRDefault="005904BC" w:rsidP="005904BC">
      <w:pPr>
        <w:pStyle w:val="NormalWeb"/>
        <w:rPr>
          <w:sz w:val="20"/>
          <w:szCs w:val="20"/>
        </w:rPr>
      </w:pPr>
      <w:r w:rsidRPr="005904BC">
        <w:rPr>
          <w:rStyle w:val="Gl"/>
          <w:sz w:val="20"/>
          <w:szCs w:val="20"/>
        </w:rPr>
        <w:t>MADDE 38 – </w:t>
      </w:r>
      <w:r w:rsidRPr="005904BC">
        <w:rPr>
          <w:sz w:val="20"/>
          <w:szCs w:val="20"/>
        </w:rPr>
        <w:t>Aynı Tebliğe 44 üncü maddeden sonra gelmek üzere aşağıdaki 44/A maddesi eklenmiştir.</w:t>
      </w:r>
    </w:p>
    <w:p w:rsidR="005904BC" w:rsidRPr="005904BC" w:rsidRDefault="005904BC" w:rsidP="005904BC">
      <w:pPr>
        <w:pStyle w:val="NormalWeb"/>
        <w:rPr>
          <w:sz w:val="20"/>
          <w:szCs w:val="20"/>
        </w:rPr>
      </w:pPr>
      <w:r w:rsidRPr="005904BC">
        <w:rPr>
          <w:rStyle w:val="Gl"/>
          <w:sz w:val="20"/>
          <w:szCs w:val="20"/>
        </w:rPr>
        <w:t xml:space="preserve">“Gayrimenkul yatırım ortaklığı olarak faaliyette bulunma hakkının ortadan kalkması </w:t>
      </w:r>
    </w:p>
    <w:p w:rsidR="005904BC" w:rsidRPr="005904BC" w:rsidRDefault="005904BC" w:rsidP="005904BC">
      <w:pPr>
        <w:pStyle w:val="NormalWeb"/>
        <w:rPr>
          <w:sz w:val="20"/>
          <w:szCs w:val="20"/>
        </w:rPr>
      </w:pPr>
      <w:r w:rsidRPr="005904BC">
        <w:rPr>
          <w:rStyle w:val="Gl"/>
          <w:sz w:val="20"/>
          <w:szCs w:val="20"/>
        </w:rPr>
        <w:t>MADDE 44/A –</w:t>
      </w:r>
      <w:r w:rsidRPr="005904BC">
        <w:rPr>
          <w:sz w:val="20"/>
          <w:szCs w:val="20"/>
        </w:rPr>
        <w:t> (1) Ortaklıkların;</w:t>
      </w:r>
    </w:p>
    <w:p w:rsidR="005904BC" w:rsidRPr="005904BC" w:rsidRDefault="005904BC" w:rsidP="005904BC">
      <w:pPr>
        <w:pStyle w:val="NormalWeb"/>
        <w:rPr>
          <w:sz w:val="20"/>
          <w:szCs w:val="20"/>
        </w:rPr>
      </w:pPr>
      <w:r w:rsidRPr="005904BC">
        <w:rPr>
          <w:sz w:val="20"/>
          <w:szCs w:val="20"/>
        </w:rPr>
        <w:t>a) Süreli olarak kuruldukları durumlarda esas sözleşmede belirtilen süre dolduğu halde süre uzatımı talebi ile Kurula başvurulmaması,</w:t>
      </w:r>
    </w:p>
    <w:p w:rsidR="005904BC" w:rsidRPr="005904BC" w:rsidRDefault="005904BC" w:rsidP="005904BC">
      <w:pPr>
        <w:pStyle w:val="NormalWeb"/>
        <w:rPr>
          <w:sz w:val="20"/>
          <w:szCs w:val="20"/>
        </w:rPr>
      </w:pPr>
      <w:r w:rsidRPr="005904BC">
        <w:rPr>
          <w:sz w:val="20"/>
          <w:szCs w:val="20"/>
        </w:rPr>
        <w:t>b) Münhasıran altyapı yatırım ve hizmetlerinden oluşan </w:t>
      </w:r>
      <w:proofErr w:type="gramStart"/>
      <w:r w:rsidRPr="005904BC">
        <w:rPr>
          <w:sz w:val="20"/>
          <w:szCs w:val="20"/>
        </w:rPr>
        <w:t>portföyü</w:t>
      </w:r>
      <w:proofErr w:type="gramEnd"/>
      <w:r w:rsidRPr="005904BC">
        <w:rPr>
          <w:sz w:val="20"/>
          <w:szCs w:val="20"/>
        </w:rPr>
        <w:t xml:space="preserve"> işletmek amacıyla kurulmaları durumunda, portföydeki altyapı yatırım faaliyetine ilişkin lisans iptali, idare ile yapılan sözleşmelerin feshi ve sözleşme süresinin sona ermesi veya projenin tamamlanması gibi ortaklığın amaç ve faaliyet konusunun tamamlanması veya faaliyetinin gerçekleştirilmesinin olanaksız hale gelmesine neden olan bir durumunun ortaya çıkması halinde gayrimenkul yatırım ortaklığı olarak faaliyette bulunma hakları ortadan kalkar. </w:t>
      </w:r>
      <w:r w:rsidRPr="005904BC">
        <w:rPr>
          <w:sz w:val="20"/>
          <w:szCs w:val="20"/>
        </w:rPr>
        <w:lastRenderedPageBreak/>
        <w:t>Ortaklıklar, bu durumun ortaya çıktığı tarihten itibaren en geç </w:t>
      </w:r>
      <w:proofErr w:type="spellStart"/>
      <w:r w:rsidRPr="005904BC">
        <w:rPr>
          <w:sz w:val="20"/>
          <w:szCs w:val="20"/>
        </w:rPr>
        <w:t>üçay</w:t>
      </w:r>
      <w:proofErr w:type="spellEnd"/>
      <w:r w:rsidRPr="005904BC">
        <w:rPr>
          <w:sz w:val="20"/>
          <w:szCs w:val="20"/>
        </w:rPr>
        <w:t xml:space="preserve"> içinde esas sözleşme hükümlerini gayrimenkul yatırım ortaklığı olarak faaliyette bulunmayacak şekilde </w:t>
      </w:r>
      <w:proofErr w:type="spellStart"/>
      <w:r w:rsidRPr="005904BC">
        <w:rPr>
          <w:sz w:val="20"/>
          <w:szCs w:val="20"/>
        </w:rPr>
        <w:t>değiştirmeküzere</w:t>
      </w:r>
      <w:proofErr w:type="spellEnd"/>
      <w:r w:rsidRPr="005904BC">
        <w:rPr>
          <w:sz w:val="20"/>
          <w:szCs w:val="20"/>
        </w:rPr>
        <w:t xml:space="preserve"> Kurula başvurmakla yükümlüdürler. Ortaklıklar bu değişiklikleri yapmadığı takdirde, </w:t>
      </w:r>
      <w:proofErr w:type="spellStart"/>
      <w:r w:rsidRPr="005904BC">
        <w:rPr>
          <w:sz w:val="20"/>
          <w:szCs w:val="20"/>
        </w:rPr>
        <w:t>TTK’nın</w:t>
      </w:r>
      <w:proofErr w:type="spellEnd"/>
      <w:r w:rsidRPr="005904BC">
        <w:rPr>
          <w:sz w:val="20"/>
          <w:szCs w:val="20"/>
        </w:rPr>
        <w:t xml:space="preserve"> 529 uncu maddesinin birinci fıkrasının (b) ve (c) bentleri hükümleri gereğince sona ermiş sayılır.” </w:t>
      </w:r>
    </w:p>
    <w:p w:rsidR="005904BC" w:rsidRPr="005904BC" w:rsidRDefault="005904BC" w:rsidP="005904BC">
      <w:pPr>
        <w:pStyle w:val="NormalWeb"/>
        <w:rPr>
          <w:sz w:val="20"/>
          <w:szCs w:val="20"/>
        </w:rPr>
      </w:pPr>
      <w:r w:rsidRPr="005904BC">
        <w:rPr>
          <w:rStyle w:val="Gl"/>
          <w:sz w:val="20"/>
          <w:szCs w:val="20"/>
        </w:rPr>
        <w:t>MADDE 39 – </w:t>
      </w:r>
      <w:r w:rsidRPr="005904BC">
        <w:rPr>
          <w:sz w:val="20"/>
          <w:szCs w:val="20"/>
        </w:rPr>
        <w:t>Aynı Tebliğin 45 inci maddesine aşağıdaki ikinci fıkra eklenmiştir.</w:t>
      </w:r>
    </w:p>
    <w:p w:rsidR="005904BC" w:rsidRPr="005904BC" w:rsidRDefault="005904BC" w:rsidP="005904BC">
      <w:pPr>
        <w:pStyle w:val="NormalWeb"/>
        <w:rPr>
          <w:sz w:val="20"/>
          <w:szCs w:val="20"/>
        </w:rPr>
      </w:pPr>
      <w:r w:rsidRPr="005904BC">
        <w:rPr>
          <w:sz w:val="20"/>
          <w:szCs w:val="20"/>
        </w:rPr>
        <w:t>“(2) Ortaklıklar, paylarının halka arzından veya nitelikli yatırımcıya satışından önce nakit kar payı </w:t>
      </w:r>
      <w:proofErr w:type="spellStart"/>
      <w:r w:rsidRPr="005904BC">
        <w:rPr>
          <w:sz w:val="20"/>
          <w:szCs w:val="20"/>
        </w:rPr>
        <w:t>dağıtımıyapamazlar</w:t>
      </w:r>
      <w:proofErr w:type="spellEnd"/>
      <w:r w:rsidRPr="005904BC">
        <w:rPr>
          <w:sz w:val="20"/>
          <w:szCs w:val="20"/>
        </w:rPr>
        <w:t>.”</w:t>
      </w:r>
    </w:p>
    <w:p w:rsidR="005904BC" w:rsidRPr="005904BC" w:rsidRDefault="005904BC" w:rsidP="005904BC">
      <w:pPr>
        <w:pStyle w:val="NormalWeb"/>
        <w:rPr>
          <w:sz w:val="20"/>
          <w:szCs w:val="20"/>
        </w:rPr>
      </w:pPr>
      <w:r w:rsidRPr="005904BC">
        <w:rPr>
          <w:rStyle w:val="Gl"/>
          <w:sz w:val="20"/>
          <w:szCs w:val="20"/>
        </w:rPr>
        <w:t>MADDE 40 – </w:t>
      </w:r>
      <w:r w:rsidRPr="005904BC">
        <w:rPr>
          <w:sz w:val="20"/>
          <w:szCs w:val="20"/>
        </w:rPr>
        <w:t>Aynı Tebliğin 48 inci maddesine aşağıdaki ikinci fıkra eklenmiştir.</w:t>
      </w:r>
    </w:p>
    <w:p w:rsidR="005904BC" w:rsidRPr="005904BC" w:rsidRDefault="005904BC" w:rsidP="005904BC">
      <w:pPr>
        <w:pStyle w:val="NormalWeb"/>
        <w:rPr>
          <w:sz w:val="20"/>
          <w:szCs w:val="20"/>
        </w:rPr>
      </w:pPr>
      <w:r w:rsidRPr="005904BC">
        <w:rPr>
          <w:sz w:val="20"/>
          <w:szCs w:val="20"/>
        </w:rPr>
        <w:t>“(2) Münhasıran altyapı yatırım ve hizmetlerinden oluşan portföyü işletecek ortaklıkların paylarının halka arzından veya nitelikli yatırımcıya satışından önce sermaye artırımı yapılması halinde, yapılacak ilk sermaye artırımında, ortaklık sermayesini temsil eden paylar ile ihraç edilecek payların tamamının </w:t>
      </w:r>
      <w:proofErr w:type="gramStart"/>
      <w:r w:rsidRPr="005904BC">
        <w:rPr>
          <w:sz w:val="20"/>
          <w:szCs w:val="20"/>
        </w:rPr>
        <w:t>nominal</w:t>
      </w:r>
      <w:proofErr w:type="gramEnd"/>
      <w:r w:rsidRPr="005904BC">
        <w:rPr>
          <w:sz w:val="20"/>
          <w:szCs w:val="20"/>
        </w:rPr>
        <w:t> değeri üzerinden Kurul ücreti alınır. Payların halka arzından veya nitelikli yatırımcıya satışından önce yapılacak daha sonraki sermaye artırımlarında ihraç edilecek payların </w:t>
      </w:r>
      <w:proofErr w:type="gramStart"/>
      <w:r w:rsidRPr="005904BC">
        <w:rPr>
          <w:sz w:val="20"/>
          <w:szCs w:val="20"/>
        </w:rPr>
        <w:t>nominal</w:t>
      </w:r>
      <w:proofErr w:type="gramEnd"/>
      <w:r w:rsidRPr="005904BC">
        <w:rPr>
          <w:sz w:val="20"/>
          <w:szCs w:val="20"/>
        </w:rPr>
        <w:t xml:space="preserve"> değeri üzerinden Kurul ücreti alınır.” </w:t>
      </w:r>
    </w:p>
    <w:p w:rsidR="005904BC" w:rsidRPr="005904BC" w:rsidRDefault="005904BC" w:rsidP="005904BC">
      <w:pPr>
        <w:pStyle w:val="NormalWeb"/>
        <w:rPr>
          <w:sz w:val="20"/>
          <w:szCs w:val="20"/>
        </w:rPr>
      </w:pPr>
      <w:r w:rsidRPr="005904BC">
        <w:rPr>
          <w:rStyle w:val="Gl"/>
          <w:sz w:val="20"/>
          <w:szCs w:val="20"/>
        </w:rPr>
        <w:t>MADDE 41 – </w:t>
      </w:r>
      <w:r w:rsidRPr="005904BC">
        <w:rPr>
          <w:sz w:val="20"/>
          <w:szCs w:val="20"/>
        </w:rPr>
        <w:t>Aynı Tebliğin 49 uncu maddesi aşağıdaki şekilde değiştirilmiştir.</w:t>
      </w:r>
    </w:p>
    <w:p w:rsidR="005904BC" w:rsidRPr="005904BC" w:rsidRDefault="005904BC" w:rsidP="005904BC">
      <w:pPr>
        <w:pStyle w:val="NormalWeb"/>
        <w:rPr>
          <w:sz w:val="20"/>
          <w:szCs w:val="20"/>
        </w:rPr>
      </w:pPr>
      <w:r w:rsidRPr="005904BC">
        <w:rPr>
          <w:rStyle w:val="Gl"/>
          <w:sz w:val="20"/>
          <w:szCs w:val="20"/>
        </w:rPr>
        <w:t>“MADDE 49 –</w:t>
      </w:r>
      <w:r w:rsidRPr="005904BC">
        <w:rPr>
          <w:sz w:val="20"/>
          <w:szCs w:val="20"/>
        </w:rPr>
        <w:t xml:space="preserve"> (1) Kurul bu Tebliğde yer alan tutarları her yıl yeniden belirleyebilir. Bu durumda yeniden belirlenmiş tutarlar Kurul Bülteni ile ilan edilir.” </w:t>
      </w:r>
    </w:p>
    <w:p w:rsidR="005904BC" w:rsidRPr="005904BC" w:rsidRDefault="005904BC" w:rsidP="005904BC">
      <w:pPr>
        <w:pStyle w:val="NormalWeb"/>
        <w:rPr>
          <w:sz w:val="20"/>
          <w:szCs w:val="20"/>
        </w:rPr>
      </w:pPr>
      <w:r w:rsidRPr="005904BC">
        <w:rPr>
          <w:rStyle w:val="Gl"/>
          <w:sz w:val="20"/>
          <w:szCs w:val="20"/>
        </w:rPr>
        <w:t>MADDE 42 – </w:t>
      </w:r>
      <w:r w:rsidRPr="005904BC">
        <w:rPr>
          <w:sz w:val="20"/>
          <w:szCs w:val="20"/>
        </w:rPr>
        <w:t>Aynı Tebliğin 50 </w:t>
      </w:r>
      <w:proofErr w:type="spellStart"/>
      <w:r w:rsidRPr="005904BC">
        <w:rPr>
          <w:sz w:val="20"/>
          <w:szCs w:val="20"/>
        </w:rPr>
        <w:t>nci</w:t>
      </w:r>
      <w:proofErr w:type="spellEnd"/>
      <w:r w:rsidRPr="005904BC">
        <w:rPr>
          <w:sz w:val="20"/>
          <w:szCs w:val="20"/>
        </w:rPr>
        <w:t> maddesi başlığıyla birlikte aşağıdaki şekilde değiştirilmiştir.</w:t>
      </w:r>
    </w:p>
    <w:p w:rsidR="005904BC" w:rsidRPr="005904BC" w:rsidRDefault="005904BC" w:rsidP="005904BC">
      <w:pPr>
        <w:pStyle w:val="NormalWeb"/>
        <w:rPr>
          <w:sz w:val="20"/>
          <w:szCs w:val="20"/>
        </w:rPr>
      </w:pPr>
      <w:r w:rsidRPr="005904BC">
        <w:rPr>
          <w:rStyle w:val="Gl"/>
          <w:sz w:val="20"/>
          <w:szCs w:val="20"/>
        </w:rPr>
        <w:t>“Bildirim yükümlülüğü ve diğer hükümler</w:t>
      </w:r>
    </w:p>
    <w:p w:rsidR="005904BC" w:rsidRPr="005904BC" w:rsidRDefault="005904BC" w:rsidP="005904BC">
      <w:pPr>
        <w:pStyle w:val="NormalWeb"/>
        <w:rPr>
          <w:sz w:val="20"/>
          <w:szCs w:val="20"/>
        </w:rPr>
      </w:pPr>
      <w:r w:rsidRPr="005904BC">
        <w:rPr>
          <w:rStyle w:val="Gl"/>
          <w:sz w:val="20"/>
          <w:szCs w:val="20"/>
        </w:rPr>
        <w:t>MADDE 50 –</w:t>
      </w:r>
      <w:r w:rsidRPr="005904BC">
        <w:rPr>
          <w:sz w:val="20"/>
          <w:szCs w:val="20"/>
        </w:rPr>
        <w:t> (1) Ortaklık;</w:t>
      </w:r>
    </w:p>
    <w:p w:rsidR="005904BC" w:rsidRPr="005904BC" w:rsidRDefault="005904BC" w:rsidP="005904BC">
      <w:pPr>
        <w:pStyle w:val="NormalWeb"/>
        <w:rPr>
          <w:sz w:val="20"/>
          <w:szCs w:val="20"/>
        </w:rPr>
      </w:pPr>
      <w:r w:rsidRPr="005904BC">
        <w:rPr>
          <w:sz w:val="20"/>
          <w:szCs w:val="20"/>
        </w:rPr>
        <w:t>a) Ortaklığa murahhas üye tayinine ve bunların yetki ve sorumluluklarının belirlenmesine ilişkin yönetim kurulu kararları ile bunda yapılan değişiklikleri, ilgili yönetim kurulu kararının alınmasını izleyen,</w:t>
      </w:r>
    </w:p>
    <w:p w:rsidR="005904BC" w:rsidRPr="005904BC" w:rsidRDefault="005904BC" w:rsidP="005904BC">
      <w:pPr>
        <w:pStyle w:val="NormalWeb"/>
        <w:rPr>
          <w:sz w:val="20"/>
          <w:szCs w:val="20"/>
        </w:rPr>
      </w:pPr>
      <w:r w:rsidRPr="005904BC">
        <w:rPr>
          <w:sz w:val="20"/>
          <w:szCs w:val="20"/>
        </w:rPr>
        <w:t>b) İletişim bilgileri, internet sitesi, vergi kimlik numarası ve ticaret sicil numarası bilgileri ile bunlarda meydana gelen değişiklikleri, değişikliğin meydana geldiği tarihi izleyen,</w:t>
      </w:r>
    </w:p>
    <w:p w:rsidR="005904BC" w:rsidRPr="005904BC" w:rsidRDefault="005904BC" w:rsidP="005904BC">
      <w:pPr>
        <w:pStyle w:val="NormalWeb"/>
        <w:rPr>
          <w:sz w:val="20"/>
          <w:szCs w:val="20"/>
        </w:rPr>
      </w:pPr>
      <w:r w:rsidRPr="005904BC">
        <w:rPr>
          <w:sz w:val="20"/>
          <w:szCs w:val="20"/>
        </w:rPr>
        <w:t>c) Kurulun bağımsız denetime ilişkin düzenlemeleri kapsamında seçtiği bağımsız denetim kuruluşuna ilişkin bilgiler ile buna ilişkin değişiklikleri keyfiyeti izleyen,</w:t>
      </w:r>
    </w:p>
    <w:p w:rsidR="005904BC" w:rsidRPr="005904BC" w:rsidRDefault="005904BC" w:rsidP="005904BC">
      <w:pPr>
        <w:pStyle w:val="NormalWeb"/>
        <w:rPr>
          <w:sz w:val="20"/>
          <w:szCs w:val="20"/>
        </w:rPr>
      </w:pPr>
      <w:r w:rsidRPr="005904BC">
        <w:rPr>
          <w:sz w:val="20"/>
          <w:szCs w:val="20"/>
        </w:rPr>
        <w:t>ç) Merkez adresi ile bunda meydana gelen değişiklikleri izleyen,</w:t>
      </w:r>
    </w:p>
    <w:p w:rsidR="005904BC" w:rsidRPr="005904BC" w:rsidRDefault="005904BC" w:rsidP="005904BC">
      <w:pPr>
        <w:pStyle w:val="NormalWeb"/>
        <w:rPr>
          <w:sz w:val="20"/>
          <w:szCs w:val="20"/>
        </w:rPr>
      </w:pPr>
      <w:r w:rsidRPr="005904BC">
        <w:rPr>
          <w:sz w:val="20"/>
          <w:szCs w:val="20"/>
        </w:rPr>
        <w:t>d) Mevcut imza sirkülerlerini ve değişiklik meydana gelmesi halinde güncel imza sirkülerlerini konuya ilişkin yönetim kurulu karar tarihini izleyen,</w:t>
      </w:r>
    </w:p>
    <w:p w:rsidR="005904BC" w:rsidRPr="005904BC" w:rsidRDefault="005904BC" w:rsidP="005904BC">
      <w:pPr>
        <w:pStyle w:val="NormalWeb"/>
        <w:rPr>
          <w:sz w:val="20"/>
          <w:szCs w:val="20"/>
        </w:rPr>
      </w:pPr>
      <w:r w:rsidRPr="005904BC">
        <w:rPr>
          <w:sz w:val="20"/>
          <w:szCs w:val="20"/>
        </w:rPr>
        <w:t>e) Ortakları, yöneticileri, personeli ve diğer kurumlar aleyhine açtığı dava ve takipler ile bunların ortaklık aleyhine açtığı dava ve takipleri ve sonuçlarını öğrendikleri tarihi izleyen,</w:t>
      </w:r>
    </w:p>
    <w:p w:rsidR="005904BC" w:rsidRPr="005904BC" w:rsidRDefault="005904BC" w:rsidP="005904BC">
      <w:pPr>
        <w:pStyle w:val="NormalWeb"/>
        <w:rPr>
          <w:sz w:val="20"/>
          <w:szCs w:val="20"/>
        </w:rPr>
      </w:pPr>
      <w:r w:rsidRPr="005904BC">
        <w:rPr>
          <w:sz w:val="20"/>
          <w:szCs w:val="20"/>
        </w:rPr>
        <w:t>f) Bu Tebliğ uyarınca yapılan ilanların yayımlandığı gazeteleri, ilanı izleyen</w:t>
      </w:r>
    </w:p>
    <w:p w:rsidR="005904BC" w:rsidRPr="005904BC" w:rsidRDefault="005904BC" w:rsidP="005904BC">
      <w:pPr>
        <w:pStyle w:val="NormalWeb"/>
        <w:rPr>
          <w:sz w:val="20"/>
          <w:szCs w:val="20"/>
        </w:rPr>
      </w:pPr>
      <w:r w:rsidRPr="005904BC">
        <w:rPr>
          <w:sz w:val="20"/>
          <w:szCs w:val="20"/>
        </w:rPr>
        <w:t>10 iş günü içinde Birliğe bildirmek zorundadır.</w:t>
      </w:r>
    </w:p>
    <w:p w:rsidR="005904BC" w:rsidRPr="005904BC" w:rsidRDefault="005904BC" w:rsidP="005904BC">
      <w:pPr>
        <w:pStyle w:val="NormalWeb"/>
        <w:rPr>
          <w:sz w:val="20"/>
          <w:szCs w:val="20"/>
        </w:rPr>
      </w:pPr>
      <w:r w:rsidRPr="005904BC">
        <w:rPr>
          <w:sz w:val="20"/>
          <w:szCs w:val="20"/>
        </w:rPr>
        <w:t>(2) Birlik ve SPL bu Tebliğ uyarınca kendilerine yapılan bildirimler kapsamında bir veri tabanı oluşturur ve söz konusu veri tabanını anlık olarak birbirlerinin ve Kurulun erişimine açar. Birliğe ve </w:t>
      </w:r>
      <w:proofErr w:type="spellStart"/>
      <w:r w:rsidRPr="005904BC">
        <w:rPr>
          <w:sz w:val="20"/>
          <w:szCs w:val="20"/>
        </w:rPr>
        <w:t>SPL’ye</w:t>
      </w:r>
      <w:proofErr w:type="spellEnd"/>
      <w:r w:rsidRPr="005904BC">
        <w:rPr>
          <w:sz w:val="20"/>
          <w:szCs w:val="20"/>
        </w:rPr>
        <w:t> yapılacak tüm bildirimler elektronik imzalı olarak da alınabilir.</w:t>
      </w:r>
    </w:p>
    <w:p w:rsidR="005904BC" w:rsidRPr="005904BC" w:rsidRDefault="005904BC" w:rsidP="005904BC">
      <w:pPr>
        <w:pStyle w:val="NormalWeb"/>
        <w:rPr>
          <w:sz w:val="20"/>
          <w:szCs w:val="20"/>
        </w:rPr>
      </w:pPr>
      <w:r w:rsidRPr="005904BC">
        <w:rPr>
          <w:sz w:val="20"/>
          <w:szCs w:val="20"/>
        </w:rPr>
        <w:lastRenderedPageBreak/>
        <w:t>(3) Birlik, bu madde uyarınca kendisine yapılan bildirimler kapsamında ortaklık, yönetim kurulu üyeleri ve personeli hakkında bu Tebliğ hükümlerine aykırı bir durum tespit etmesi halinde üç iş günü içinde Kurula yazılı olarak bildirimde bulunur.</w:t>
      </w:r>
    </w:p>
    <w:p w:rsidR="005904BC" w:rsidRPr="005904BC" w:rsidRDefault="005904BC" w:rsidP="005904BC">
      <w:pPr>
        <w:pStyle w:val="NormalWeb"/>
        <w:rPr>
          <w:sz w:val="20"/>
          <w:szCs w:val="20"/>
        </w:rPr>
      </w:pPr>
      <w:r w:rsidRPr="005904BC">
        <w:rPr>
          <w:sz w:val="20"/>
          <w:szCs w:val="20"/>
        </w:rPr>
        <w:t xml:space="preserve">(4) Ortaklıklara ilişkin olarak bu Tebliğde hüküm bulunmayan hallerde Kanun, TTK ve ilgili mevzuat hükümlerine uyulur.” </w:t>
      </w:r>
    </w:p>
    <w:p w:rsidR="005904BC" w:rsidRPr="005904BC" w:rsidRDefault="005904BC" w:rsidP="005904BC">
      <w:pPr>
        <w:pStyle w:val="NormalWeb"/>
        <w:rPr>
          <w:sz w:val="20"/>
          <w:szCs w:val="20"/>
        </w:rPr>
      </w:pPr>
      <w:r w:rsidRPr="005904BC">
        <w:rPr>
          <w:rStyle w:val="Gl"/>
          <w:sz w:val="20"/>
          <w:szCs w:val="20"/>
        </w:rPr>
        <w:t>MADDE 43 –</w:t>
      </w:r>
      <w:r w:rsidRPr="005904BC">
        <w:rPr>
          <w:sz w:val="20"/>
          <w:szCs w:val="20"/>
        </w:rPr>
        <w:t> Aynı Tebliğin geçici 1 inci maddesinin birinci ve ikinci fıkrası aşağıdaki şekilde değiştirilmiştir.</w:t>
      </w:r>
    </w:p>
    <w:p w:rsidR="005904BC" w:rsidRPr="005904BC" w:rsidRDefault="005904BC" w:rsidP="005904BC">
      <w:pPr>
        <w:pStyle w:val="NormalWeb"/>
        <w:rPr>
          <w:sz w:val="20"/>
          <w:szCs w:val="20"/>
        </w:rPr>
      </w:pPr>
      <w:r w:rsidRPr="005904BC">
        <w:rPr>
          <w:sz w:val="20"/>
          <w:szCs w:val="20"/>
        </w:rPr>
        <w:t>“(1) </w:t>
      </w:r>
      <w:proofErr w:type="gramStart"/>
      <w:r w:rsidRPr="005904BC">
        <w:rPr>
          <w:sz w:val="20"/>
          <w:szCs w:val="20"/>
        </w:rPr>
        <w:t>28/5/2013</w:t>
      </w:r>
      <w:proofErr w:type="gramEnd"/>
      <w:r w:rsidRPr="005904BC">
        <w:rPr>
          <w:sz w:val="20"/>
          <w:szCs w:val="20"/>
        </w:rPr>
        <w:t> tarihinden önce kuruluş veya dönüşüm suretiyle gayrimenkul yatırım ortaklığı statüsünü </w:t>
      </w:r>
      <w:proofErr w:type="spellStart"/>
      <w:r w:rsidRPr="005904BC">
        <w:rPr>
          <w:sz w:val="20"/>
          <w:szCs w:val="20"/>
        </w:rPr>
        <w:t>kazanmışortaklıklar</w:t>
      </w:r>
      <w:proofErr w:type="spellEnd"/>
      <w:r w:rsidRPr="005904BC">
        <w:rPr>
          <w:sz w:val="20"/>
          <w:szCs w:val="20"/>
        </w:rPr>
        <w:t xml:space="preserve"> tarafından, 28/5/2013 tarihinden itibaren bir yıl içinde bu Tebliğ ve bu Tebliğde değişiklik yapan III-48.1a </w:t>
      </w:r>
      <w:proofErr w:type="spellStart"/>
      <w:r w:rsidRPr="005904BC">
        <w:rPr>
          <w:sz w:val="20"/>
          <w:szCs w:val="20"/>
        </w:rPr>
        <w:t>sayılıTebliğ</w:t>
      </w:r>
      <w:proofErr w:type="spellEnd"/>
      <w:r w:rsidRPr="005904BC">
        <w:rPr>
          <w:sz w:val="20"/>
          <w:szCs w:val="20"/>
        </w:rPr>
        <w:t xml:space="preserve"> hükümlerine uyum sağlanması ve esas sözleşmelerinin bu Tebliğin ve bu Tebliğde değişiklik yapan III-48.1a </w:t>
      </w:r>
      <w:proofErr w:type="spellStart"/>
      <w:r w:rsidRPr="005904BC">
        <w:rPr>
          <w:sz w:val="20"/>
          <w:szCs w:val="20"/>
        </w:rPr>
        <w:t>sayılıTebliğin</w:t>
      </w:r>
      <w:proofErr w:type="spellEnd"/>
      <w:r w:rsidRPr="005904BC">
        <w:rPr>
          <w:sz w:val="20"/>
          <w:szCs w:val="20"/>
        </w:rPr>
        <w:t xml:space="preserve"> hükümlerine uyumlu hale getirilmesi için Kurula başvurulması zorunludur. Aksi takdirde, ortaklıklar gayrimenkul yatırım ortaklığı statüsünden çıkmış sayılır, bu durumda 44 üncü madde kıyasen uygulanır.” </w:t>
      </w:r>
    </w:p>
    <w:p w:rsidR="005904BC" w:rsidRPr="005904BC" w:rsidRDefault="005904BC" w:rsidP="005904BC">
      <w:pPr>
        <w:pStyle w:val="NormalWeb"/>
        <w:rPr>
          <w:sz w:val="20"/>
          <w:szCs w:val="20"/>
        </w:rPr>
      </w:pPr>
      <w:r w:rsidRPr="005904BC">
        <w:rPr>
          <w:sz w:val="20"/>
          <w:szCs w:val="20"/>
        </w:rPr>
        <w:t>“(2) </w:t>
      </w:r>
      <w:proofErr w:type="gramStart"/>
      <w:r w:rsidRPr="005904BC">
        <w:rPr>
          <w:sz w:val="20"/>
          <w:szCs w:val="20"/>
        </w:rPr>
        <w:t>28/5/2013</w:t>
      </w:r>
      <w:proofErr w:type="gramEnd"/>
      <w:r w:rsidRPr="005904BC">
        <w:rPr>
          <w:sz w:val="20"/>
          <w:szCs w:val="20"/>
        </w:rPr>
        <w:t> tarihinden önce kuruluş veya dönüşüm suretiyle gayrimenkul yatırım ortaklığı statüsünü </w:t>
      </w:r>
      <w:proofErr w:type="spellStart"/>
      <w:r w:rsidRPr="005904BC">
        <w:rPr>
          <w:sz w:val="20"/>
          <w:szCs w:val="20"/>
        </w:rPr>
        <w:t>kazanmışolan</w:t>
      </w:r>
      <w:proofErr w:type="spellEnd"/>
      <w:r w:rsidRPr="005904BC">
        <w:rPr>
          <w:sz w:val="20"/>
          <w:szCs w:val="20"/>
        </w:rPr>
        <w:t xml:space="preserve"> ve paylarını halka arz edecek ortaklıkların, kendilerine 28/5/2013 tarihinden önce tanınan sürelerde, </w:t>
      </w:r>
      <w:proofErr w:type="spellStart"/>
      <w:r w:rsidRPr="005904BC">
        <w:rPr>
          <w:sz w:val="20"/>
          <w:szCs w:val="20"/>
        </w:rPr>
        <w:t>çıkarılmışsermayelerinin</w:t>
      </w:r>
      <w:proofErr w:type="spellEnd"/>
      <w:r w:rsidRPr="005904BC">
        <w:rPr>
          <w:sz w:val="20"/>
          <w:szCs w:val="20"/>
        </w:rPr>
        <w:t xml:space="preserve"> asgari %25’ini temsil eden paylarının halka arzına ilişkin </w:t>
      </w:r>
      <w:proofErr w:type="spellStart"/>
      <w:r w:rsidRPr="005904BC">
        <w:rPr>
          <w:sz w:val="20"/>
          <w:szCs w:val="20"/>
        </w:rPr>
        <w:t>izahnamenin</w:t>
      </w:r>
      <w:proofErr w:type="spellEnd"/>
      <w:r w:rsidRPr="005904BC">
        <w:rPr>
          <w:sz w:val="20"/>
          <w:szCs w:val="20"/>
        </w:rPr>
        <w:t xml:space="preserve"> onaylanması talebiyle Kurula başvurmaları zorunludur.” </w:t>
      </w:r>
    </w:p>
    <w:p w:rsidR="005904BC" w:rsidRPr="005904BC" w:rsidRDefault="005904BC" w:rsidP="005904BC">
      <w:pPr>
        <w:pStyle w:val="NormalWeb"/>
        <w:rPr>
          <w:sz w:val="20"/>
          <w:szCs w:val="20"/>
        </w:rPr>
      </w:pPr>
      <w:r w:rsidRPr="005904BC">
        <w:rPr>
          <w:rStyle w:val="Gl"/>
          <w:sz w:val="20"/>
          <w:szCs w:val="20"/>
        </w:rPr>
        <w:t>MADDE 44 –</w:t>
      </w:r>
      <w:r w:rsidRPr="005904BC">
        <w:rPr>
          <w:sz w:val="20"/>
          <w:szCs w:val="20"/>
        </w:rPr>
        <w:t> Aynı Tebliğin eki ekteki şekilde değiştirilmiştir.</w:t>
      </w:r>
    </w:p>
    <w:p w:rsidR="005904BC" w:rsidRPr="005904BC" w:rsidRDefault="005904BC" w:rsidP="005904BC">
      <w:pPr>
        <w:pStyle w:val="NormalWeb"/>
        <w:rPr>
          <w:sz w:val="20"/>
          <w:szCs w:val="20"/>
        </w:rPr>
      </w:pPr>
      <w:r w:rsidRPr="005904BC">
        <w:rPr>
          <w:rStyle w:val="Gl"/>
          <w:sz w:val="20"/>
          <w:szCs w:val="20"/>
        </w:rPr>
        <w:t>MADDE 45 –</w:t>
      </w:r>
      <w:r w:rsidRPr="005904BC">
        <w:rPr>
          <w:sz w:val="20"/>
          <w:szCs w:val="20"/>
        </w:rPr>
        <w:t> Bu Tebliğ yayımı tarihinde yürürlüğe girer.</w:t>
      </w:r>
    </w:p>
    <w:p w:rsidR="005904BC" w:rsidRPr="005904BC" w:rsidRDefault="005904BC" w:rsidP="005904BC">
      <w:pPr>
        <w:pStyle w:val="NormalWeb"/>
        <w:rPr>
          <w:sz w:val="20"/>
          <w:szCs w:val="20"/>
        </w:rPr>
      </w:pPr>
      <w:r w:rsidRPr="005904BC">
        <w:rPr>
          <w:rStyle w:val="Gl"/>
          <w:sz w:val="20"/>
          <w:szCs w:val="20"/>
        </w:rPr>
        <w:t>MADDE 46 –</w:t>
      </w:r>
      <w:r w:rsidRPr="005904BC">
        <w:rPr>
          <w:sz w:val="20"/>
          <w:szCs w:val="20"/>
        </w:rPr>
        <w:t> Bu Tebliğ hükümlerini Sermaye Piyasası Kurulu yürütür.</w:t>
      </w:r>
    </w:p>
    <w:p w:rsidR="005904BC" w:rsidRPr="005904BC" w:rsidRDefault="005904BC" w:rsidP="005904BC">
      <w:pPr>
        <w:pStyle w:val="NormalWeb"/>
        <w:jc w:val="center"/>
        <w:rPr>
          <w:sz w:val="20"/>
          <w:szCs w:val="20"/>
        </w:rPr>
      </w:pPr>
      <w:r w:rsidRPr="005904BC">
        <w:rPr>
          <w:rStyle w:val="Gl"/>
          <w:sz w:val="20"/>
          <w:szCs w:val="20"/>
        </w:rPr>
        <w:t> </w:t>
      </w:r>
    </w:p>
    <w:p w:rsidR="005904BC" w:rsidRPr="005904BC" w:rsidRDefault="005904BC" w:rsidP="005904BC">
      <w:pPr>
        <w:pStyle w:val="NormalWeb"/>
        <w:rPr>
          <w:sz w:val="20"/>
          <w:szCs w:val="20"/>
        </w:rPr>
      </w:pPr>
      <w:r w:rsidRPr="005904BC">
        <w:rPr>
          <w:rStyle w:val="Gl"/>
          <w:sz w:val="20"/>
          <w:szCs w:val="20"/>
        </w:rPr>
        <w:t>EK</w:t>
      </w:r>
    </w:p>
    <w:p w:rsidR="005904BC" w:rsidRPr="005904BC" w:rsidRDefault="005904BC" w:rsidP="005904BC">
      <w:pPr>
        <w:pStyle w:val="NormalWeb"/>
        <w:jc w:val="center"/>
        <w:rPr>
          <w:sz w:val="20"/>
          <w:szCs w:val="20"/>
        </w:rPr>
      </w:pPr>
      <w:r w:rsidRPr="005904BC">
        <w:rPr>
          <w:rStyle w:val="Gl"/>
          <w:sz w:val="20"/>
          <w:szCs w:val="20"/>
        </w:rPr>
        <w:t>PORTFÖY SINIRLAMALARINA UYUMUN KONTROLÜNE İLİŞKİN</w:t>
      </w:r>
    </w:p>
    <w:p w:rsidR="005904BC" w:rsidRPr="005904BC" w:rsidRDefault="005904BC" w:rsidP="005904BC">
      <w:pPr>
        <w:pStyle w:val="NormalWeb"/>
        <w:jc w:val="center"/>
        <w:rPr>
          <w:sz w:val="20"/>
          <w:szCs w:val="20"/>
        </w:rPr>
      </w:pPr>
      <w:r w:rsidRPr="005904BC">
        <w:rPr>
          <w:rStyle w:val="Gl"/>
          <w:sz w:val="20"/>
          <w:szCs w:val="20"/>
        </w:rPr>
        <w:t>KONSOLİDE OLMAYAN VEYA BİREYSEL FİNANSAL TABLOLARDA</w:t>
      </w:r>
    </w:p>
    <w:p w:rsidR="005904BC" w:rsidRPr="005904BC" w:rsidRDefault="005904BC" w:rsidP="005904BC">
      <w:pPr>
        <w:pStyle w:val="NormalWeb"/>
        <w:jc w:val="center"/>
        <w:rPr>
          <w:sz w:val="20"/>
          <w:szCs w:val="20"/>
        </w:rPr>
      </w:pPr>
      <w:r w:rsidRPr="005904BC">
        <w:rPr>
          <w:rStyle w:val="Gl"/>
          <w:sz w:val="20"/>
          <w:szCs w:val="20"/>
        </w:rPr>
        <w:t>YER ALACAK DİPNOT FORMATI HAKKINDA AÇIKLAMALAR</w:t>
      </w:r>
    </w:p>
    <w:p w:rsidR="005904BC" w:rsidRPr="005904BC" w:rsidRDefault="005904BC" w:rsidP="005904BC">
      <w:pPr>
        <w:pStyle w:val="NormalWeb"/>
        <w:rPr>
          <w:sz w:val="20"/>
          <w:szCs w:val="20"/>
        </w:rPr>
      </w:pPr>
      <w:r w:rsidRPr="005904BC">
        <w:rPr>
          <w:sz w:val="20"/>
          <w:szCs w:val="20"/>
        </w:rPr>
        <w:t>(1) Gayrimenkul yatırım ortaklıkları tarafından, </w:t>
      </w:r>
      <w:proofErr w:type="gramStart"/>
      <w:r w:rsidRPr="005904BC">
        <w:rPr>
          <w:sz w:val="20"/>
          <w:szCs w:val="20"/>
        </w:rPr>
        <w:t>portföy</w:t>
      </w:r>
      <w:proofErr w:type="gramEnd"/>
      <w:r w:rsidRPr="005904BC">
        <w:rPr>
          <w:sz w:val="20"/>
          <w:szCs w:val="20"/>
        </w:rPr>
        <w:t> sınırlamalarına uyumun kontrolüne ilişkin bilgilere, konsolide olmayan veya bireysel finansal tablolarda diğer dipnot maddelerinden sonra gelmek üzere ve “Ek Dipnot: Portföy Sınırlamalarına Uyumun Kontrolü” başlıklı ayrı bir dipnot maddesi altında yer verilecektir.</w:t>
      </w:r>
    </w:p>
    <w:p w:rsidR="005904BC" w:rsidRPr="005904BC" w:rsidRDefault="005904BC" w:rsidP="005904BC">
      <w:pPr>
        <w:pStyle w:val="NormalWeb"/>
        <w:rPr>
          <w:sz w:val="20"/>
          <w:szCs w:val="20"/>
        </w:rPr>
      </w:pPr>
      <w:r w:rsidRPr="005904BC">
        <w:rPr>
          <w:sz w:val="20"/>
          <w:szCs w:val="20"/>
        </w:rPr>
        <w:t>(2) “Finansal Tabloların Sunumuna İlişkin Esaslar” başlıklı dipnotta, oluşturulacak “Ek Dipnot: Portföy Sınırlamalarına Uyumun Kontrolü” başlıklı dipnota referans verilmek suretiyle, söz konusu dipnotta yer verilen bilgilerin; “Sermaye Piyasasında Finansal Raporlama Tebliği” uyarınca finansal tablolardan türetilmiş özet bilgiler niteliğinde olduğu ve “Gayrimenkul Yatırım Ortaklıklarına İlişkin Esaslar Tebliği”nin </w:t>
      </w:r>
      <w:proofErr w:type="gramStart"/>
      <w:r w:rsidRPr="005904BC">
        <w:rPr>
          <w:sz w:val="20"/>
          <w:szCs w:val="20"/>
        </w:rPr>
        <w:t>portföy</w:t>
      </w:r>
      <w:proofErr w:type="gramEnd"/>
      <w:r w:rsidRPr="005904BC">
        <w:rPr>
          <w:sz w:val="20"/>
          <w:szCs w:val="20"/>
        </w:rPr>
        <w:t> sınırlamalarına uyumun kontrolüne ilişkin hükümleri çerçevesinde hazırlandığı belirtilecektir.</w:t>
      </w:r>
    </w:p>
    <w:p w:rsidR="005904BC" w:rsidRPr="005904BC" w:rsidRDefault="005904BC" w:rsidP="005904BC">
      <w:pPr>
        <w:pStyle w:val="NormalWeb"/>
        <w:rPr>
          <w:sz w:val="20"/>
          <w:szCs w:val="20"/>
        </w:rPr>
      </w:pPr>
      <w:r w:rsidRPr="005904BC">
        <w:rPr>
          <w:sz w:val="20"/>
          <w:szCs w:val="20"/>
        </w:rPr>
        <w:t> (3) “Ek Dipnot: Portföy Sınırlamalarına Uyumun Kontrolü” başlıklı dipnotta bakiyesi sıfır olanlara da yer verilecektir.”</w:t>
      </w:r>
    </w:p>
    <w:p w:rsidR="005904BC" w:rsidRPr="005904BC" w:rsidRDefault="005904BC" w:rsidP="005904BC">
      <w:pPr>
        <w:pStyle w:val="NormalWeb"/>
        <w:rPr>
          <w:sz w:val="20"/>
          <w:szCs w:val="20"/>
        </w:rPr>
      </w:pPr>
      <w:r w:rsidRPr="005904BC">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390"/>
        <w:gridCol w:w="1830"/>
        <w:gridCol w:w="1425"/>
        <w:gridCol w:w="1425"/>
      </w:tblGrid>
      <w:tr w:rsidR="005904BC" w:rsidRPr="005904BC">
        <w:trPr>
          <w:tblCellSpacing w:w="0" w:type="dxa"/>
          <w:jc w:val="center"/>
        </w:trPr>
        <w:tc>
          <w:tcPr>
            <w:tcW w:w="8505" w:type="dxa"/>
            <w:gridSpan w:val="5"/>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Ek Dipnot: Portföy Sınırlamalarına Uyumun Kontrolü</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Konsolide Olmayan/Bireysel Finansal Tablo Ana Hesap Kalemleri</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lastRenderedPageBreak/>
              <w:t>İlgili Düzenleme</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rStyle w:val="Gl"/>
                <w:sz w:val="20"/>
                <w:szCs w:val="20"/>
              </w:rPr>
              <w:lastRenderedPageBreak/>
              <w:t>Cari</w:t>
            </w:r>
          </w:p>
          <w:p w:rsidR="005904BC" w:rsidRPr="005904BC" w:rsidRDefault="005904BC">
            <w:pPr>
              <w:pStyle w:val="NormalWeb"/>
              <w:rPr>
                <w:sz w:val="20"/>
                <w:szCs w:val="20"/>
              </w:rPr>
            </w:pPr>
            <w:r w:rsidRPr="005904BC">
              <w:rPr>
                <w:rStyle w:val="Gl"/>
                <w:sz w:val="20"/>
                <w:szCs w:val="20"/>
              </w:rPr>
              <w:lastRenderedPageBreak/>
              <w:t>Dönem (TL)</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lastRenderedPageBreak/>
              <w:t>Önceki</w:t>
            </w:r>
          </w:p>
          <w:p w:rsidR="005904BC" w:rsidRPr="005904BC" w:rsidRDefault="005904BC">
            <w:pPr>
              <w:pStyle w:val="NormalWeb"/>
              <w:rPr>
                <w:sz w:val="20"/>
                <w:szCs w:val="20"/>
              </w:rPr>
            </w:pPr>
            <w:r w:rsidRPr="005904BC">
              <w:rPr>
                <w:rStyle w:val="Gl"/>
                <w:sz w:val="20"/>
                <w:szCs w:val="20"/>
              </w:rPr>
              <w:lastRenderedPageBreak/>
              <w:t>Dönem (TL)</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lastRenderedPageBreak/>
              <w:t>A</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Para ve Sermaye Piyasası Araçları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Md.24/(b)</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B</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Gayrimenkuller, Gayrimenkule Dayalı Projeler, Gayrimenkule Dayalı Haklar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Md.24/(a)</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C</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İştirakler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Md.24/(b)</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 </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İlişkili Taraflardan Alacaklar (Ticari Olmayan)</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Md.23/(f)</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 </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Diğer Varlıklar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D</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Toplam Varlıklar (Aktif Toplamı)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Md.3/(p)</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E</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Finansal Borçlar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Md.31</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F</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Diğer Finansal Yükümlülükler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Md.31</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G</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Finansal Kiralama Borçları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Md.31</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H</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İlişkili Taraflara Borçlar (Ticari Olmayan)</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Md.23/(f)</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İ</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proofErr w:type="spellStart"/>
            <w:r w:rsidRPr="005904BC">
              <w:rPr>
                <w:sz w:val="20"/>
                <w:szCs w:val="20"/>
              </w:rPr>
              <w:t>Özkaynaklar</w:t>
            </w:r>
            <w:proofErr w:type="spellEnd"/>
            <w:r w:rsidRPr="005904BC">
              <w:rPr>
                <w:sz w:val="20"/>
                <w:szCs w:val="20"/>
              </w:rPr>
              <w:t xml:space="preserve"> </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Md.31</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 </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Diğer Kaynaklar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D</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Toplam Kaynaklar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Md.3/(p)</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 </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Konsolide Olmayan/Bireysel Diğer Finansal Bilgiler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t>İlgili Düzenleme</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rStyle w:val="Gl"/>
                <w:sz w:val="20"/>
                <w:szCs w:val="20"/>
              </w:rPr>
              <w:t>Cari</w:t>
            </w:r>
          </w:p>
          <w:p w:rsidR="005904BC" w:rsidRPr="005904BC" w:rsidRDefault="005904BC">
            <w:pPr>
              <w:pStyle w:val="NormalWeb"/>
              <w:rPr>
                <w:sz w:val="20"/>
                <w:szCs w:val="20"/>
              </w:rPr>
            </w:pPr>
            <w:r w:rsidRPr="005904BC">
              <w:rPr>
                <w:rStyle w:val="Gl"/>
                <w:sz w:val="20"/>
                <w:szCs w:val="20"/>
              </w:rPr>
              <w:t>Dönem (TL)</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Önceki</w:t>
            </w:r>
          </w:p>
          <w:p w:rsidR="005904BC" w:rsidRPr="005904BC" w:rsidRDefault="005904BC">
            <w:pPr>
              <w:pStyle w:val="NormalWeb"/>
              <w:rPr>
                <w:sz w:val="20"/>
                <w:szCs w:val="20"/>
              </w:rPr>
            </w:pPr>
            <w:r w:rsidRPr="005904BC">
              <w:rPr>
                <w:rStyle w:val="Gl"/>
                <w:sz w:val="20"/>
                <w:szCs w:val="20"/>
              </w:rPr>
              <w:t>Dönem (TL)</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A1</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Para ve Sermaye Piyasası Araçlarının 3 Yıllık Gayrimenkul Ödemeleri İçin Tutulan Kısmı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Md.24/(b)</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A2</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Döviz Cinsinden Vadeli-Vadesiz Mevduat / Özel Cari-Katılma Hesabı ve TL Cinsinden Vadeli Mevduat / Katılma Hesabı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Md.24/(b)</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A3</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Yabancı Sermaye Piyasası Araçları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Md.24/(d)</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B1</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Yabancı Gayrimenkuller, Gayrimenkule Dayalı Projeler, Gayrimenkule Dayalı Haklar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Md.24/(d)</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B2</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Atıl Tutulan Arsa/Araziler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Md.24/(c)</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C1</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Yabancı İştirakler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Md.24/(d)</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C2</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İşletmeci Şirkete İştirak</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Md.28/1(a)</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J</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proofErr w:type="spellStart"/>
            <w:r w:rsidRPr="005904BC">
              <w:rPr>
                <w:sz w:val="20"/>
                <w:szCs w:val="20"/>
              </w:rPr>
              <w:t>Gayrinakdi</w:t>
            </w:r>
            <w:proofErr w:type="spellEnd"/>
            <w:r w:rsidRPr="005904BC">
              <w:rPr>
                <w:sz w:val="20"/>
                <w:szCs w:val="20"/>
              </w:rPr>
              <w:t> Krediler</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Md.31</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K</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Üzerinde Proje Geliştirilecek Mülkiyeti Ortaklığa Ait Olmayan İpotekli Arsaların İpotek Bedelleri</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Md.22/(e)</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L</w:t>
            </w:r>
          </w:p>
        </w:tc>
        <w:tc>
          <w:tcPr>
            <w:tcW w:w="339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Tek Bir Şirketteki Para ve Sermaye Piyasası Araçları Yatırımlarının Toplamı</w:t>
            </w:r>
          </w:p>
        </w:tc>
        <w:tc>
          <w:tcPr>
            <w:tcW w:w="183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Md.22/(l)</w:t>
            </w:r>
          </w:p>
        </w:tc>
        <w:tc>
          <w:tcPr>
            <w:tcW w:w="1425" w:type="dxa"/>
            <w:tcBorders>
              <w:top w:val="outset" w:sz="6" w:space="0" w:color="auto"/>
              <w:left w:val="outset" w:sz="6" w:space="0" w:color="auto"/>
              <w:bottom w:val="outset" w:sz="6" w:space="0" w:color="auto"/>
              <w:right w:val="outset" w:sz="6" w:space="0" w:color="auto"/>
            </w:tcBorders>
            <w:hideMark/>
          </w:tcPr>
          <w:p w:rsidR="005904BC" w:rsidRPr="005904BC" w:rsidRDefault="005904BC">
            <w:pPr>
              <w:pStyle w:val="NormalWeb"/>
              <w:rPr>
                <w:sz w:val="20"/>
                <w:szCs w:val="20"/>
              </w:rPr>
            </w:pPr>
            <w:r w:rsidRPr="005904BC">
              <w:rPr>
                <w:sz w:val="20"/>
                <w:szCs w:val="20"/>
              </w:rPr>
              <w:t> </w:t>
            </w:r>
          </w:p>
        </w:tc>
        <w:tc>
          <w:tcPr>
            <w:tcW w:w="1425"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sz w:val="20"/>
                <w:szCs w:val="20"/>
              </w:rPr>
              <w:t> </w:t>
            </w:r>
          </w:p>
        </w:tc>
      </w:tr>
    </w:tbl>
    <w:p w:rsidR="005904BC" w:rsidRPr="005904BC" w:rsidRDefault="005904BC" w:rsidP="005904BC">
      <w:pPr>
        <w:pStyle w:val="NormalWeb"/>
        <w:rPr>
          <w:sz w:val="20"/>
          <w:szCs w:val="20"/>
        </w:rPr>
      </w:pPr>
      <w:r w:rsidRPr="005904BC">
        <w:rPr>
          <w:sz w:val="20"/>
          <w:szCs w:val="20"/>
        </w:rPr>
        <w:t> </w:t>
      </w:r>
    </w:p>
    <w:tbl>
      <w:tblPr>
        <w:tblW w:w="8505" w:type="dxa"/>
        <w:jc w:val="center"/>
        <w:tblCellSpacing w:w="0" w:type="dxa"/>
        <w:tblCellMar>
          <w:left w:w="0" w:type="dxa"/>
          <w:right w:w="0" w:type="dxa"/>
        </w:tblCellMar>
        <w:tblLook w:val="04A0"/>
      </w:tblPr>
      <w:tblGrid>
        <w:gridCol w:w="255"/>
        <w:gridCol w:w="3090"/>
        <w:gridCol w:w="1545"/>
        <w:gridCol w:w="1410"/>
        <w:gridCol w:w="1307"/>
        <w:gridCol w:w="915"/>
      </w:tblGrid>
      <w:tr w:rsidR="005904BC" w:rsidRPr="005904BC">
        <w:trPr>
          <w:tblCellSpacing w:w="0" w:type="dxa"/>
          <w:jc w:val="center"/>
        </w:trPr>
        <w:tc>
          <w:tcPr>
            <w:tcW w:w="255" w:type="dxa"/>
            <w:noWrap/>
            <w:vAlign w:val="bottom"/>
            <w:hideMark/>
          </w:tcPr>
          <w:p w:rsidR="005904BC" w:rsidRPr="005904BC" w:rsidRDefault="005904BC">
            <w:pPr>
              <w:pStyle w:val="NormalWeb"/>
              <w:rPr>
                <w:sz w:val="20"/>
                <w:szCs w:val="20"/>
              </w:rPr>
            </w:pPr>
            <w:r w:rsidRPr="005904BC">
              <w:rPr>
                <w:sz w:val="20"/>
                <w:szCs w:val="20"/>
              </w:rPr>
              <w:t> </w:t>
            </w:r>
          </w:p>
        </w:tc>
        <w:tc>
          <w:tcPr>
            <w:tcW w:w="3090" w:type="dxa"/>
            <w:noWrap/>
            <w:vAlign w:val="bottom"/>
            <w:hideMark/>
          </w:tcPr>
          <w:p w:rsidR="005904BC" w:rsidRPr="005904BC" w:rsidRDefault="005904BC">
            <w:pPr>
              <w:pStyle w:val="NormalWeb"/>
              <w:rPr>
                <w:sz w:val="20"/>
                <w:szCs w:val="20"/>
              </w:rPr>
            </w:pPr>
            <w:r w:rsidRPr="005904BC">
              <w:rPr>
                <w:rStyle w:val="Gl"/>
                <w:sz w:val="20"/>
                <w:szCs w:val="20"/>
              </w:rPr>
              <w:t>Portföy Sınırlamaları</w:t>
            </w:r>
          </w:p>
        </w:tc>
        <w:tc>
          <w:tcPr>
            <w:tcW w:w="1545" w:type="dxa"/>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t>İlgili Düzenleme</w:t>
            </w:r>
          </w:p>
        </w:tc>
        <w:tc>
          <w:tcPr>
            <w:tcW w:w="1410" w:type="dxa"/>
            <w:vAlign w:val="bottom"/>
            <w:hideMark/>
          </w:tcPr>
          <w:p w:rsidR="005904BC" w:rsidRPr="005904BC" w:rsidRDefault="005904BC">
            <w:pPr>
              <w:pStyle w:val="NormalWeb"/>
              <w:rPr>
                <w:sz w:val="20"/>
                <w:szCs w:val="20"/>
              </w:rPr>
            </w:pPr>
            <w:r w:rsidRPr="005904BC">
              <w:rPr>
                <w:rStyle w:val="Gl"/>
                <w:sz w:val="20"/>
                <w:szCs w:val="20"/>
              </w:rPr>
              <w:t>Cari Dönem</w:t>
            </w:r>
          </w:p>
        </w:tc>
        <w:tc>
          <w:tcPr>
            <w:tcW w:w="1290" w:type="dxa"/>
            <w:vAlign w:val="bottom"/>
            <w:hideMark/>
          </w:tcPr>
          <w:p w:rsidR="005904BC" w:rsidRPr="005904BC" w:rsidRDefault="005904BC">
            <w:pPr>
              <w:pStyle w:val="NormalWeb"/>
              <w:rPr>
                <w:sz w:val="20"/>
                <w:szCs w:val="20"/>
              </w:rPr>
            </w:pPr>
            <w:r w:rsidRPr="005904BC">
              <w:rPr>
                <w:rStyle w:val="Gl"/>
                <w:sz w:val="20"/>
                <w:szCs w:val="20"/>
              </w:rPr>
              <w:t>Önceki Dönem</w:t>
            </w:r>
          </w:p>
        </w:tc>
        <w:tc>
          <w:tcPr>
            <w:tcW w:w="915" w:type="dxa"/>
            <w:vAlign w:val="bottom"/>
            <w:hideMark/>
          </w:tcPr>
          <w:p w:rsidR="005904BC" w:rsidRPr="005904BC" w:rsidRDefault="005904BC">
            <w:pPr>
              <w:pStyle w:val="NormalWeb"/>
              <w:rPr>
                <w:sz w:val="20"/>
                <w:szCs w:val="20"/>
              </w:rPr>
            </w:pPr>
            <w:r w:rsidRPr="005904BC">
              <w:rPr>
                <w:rStyle w:val="Gl"/>
                <w:sz w:val="20"/>
                <w:szCs w:val="20"/>
              </w:rPr>
              <w:t>Asgari/</w:t>
            </w:r>
          </w:p>
          <w:p w:rsidR="005904BC" w:rsidRPr="005904BC" w:rsidRDefault="005904BC">
            <w:pPr>
              <w:pStyle w:val="NormalWeb"/>
              <w:rPr>
                <w:sz w:val="20"/>
                <w:szCs w:val="20"/>
              </w:rPr>
            </w:pPr>
            <w:r w:rsidRPr="005904BC">
              <w:rPr>
                <w:rStyle w:val="Gl"/>
                <w:sz w:val="20"/>
                <w:szCs w:val="20"/>
              </w:rPr>
              <w:t>Azami Oran</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1</w:t>
            </w:r>
          </w:p>
        </w:tc>
        <w:tc>
          <w:tcPr>
            <w:tcW w:w="3090" w:type="dxa"/>
            <w:noWrap/>
            <w:vAlign w:val="bottom"/>
            <w:hideMark/>
          </w:tcPr>
          <w:p w:rsidR="005904BC" w:rsidRPr="005904BC" w:rsidRDefault="005904BC">
            <w:pPr>
              <w:pStyle w:val="NormalWeb"/>
              <w:rPr>
                <w:sz w:val="20"/>
                <w:szCs w:val="20"/>
              </w:rPr>
            </w:pPr>
            <w:r w:rsidRPr="005904BC">
              <w:rPr>
                <w:sz w:val="20"/>
                <w:szCs w:val="20"/>
              </w:rPr>
              <w:t>Üzerinde Proje Geliştirilecek Mülkiyeti Ortaklığa Ait Olmayan İpotekli Arsaların İpotek Bedelleri</w:t>
            </w:r>
          </w:p>
        </w:tc>
        <w:tc>
          <w:tcPr>
            <w:tcW w:w="1545" w:type="dxa"/>
            <w:noWrap/>
            <w:vAlign w:val="bottom"/>
            <w:hideMark/>
          </w:tcPr>
          <w:p w:rsidR="005904BC" w:rsidRPr="005904BC" w:rsidRDefault="005904BC">
            <w:pPr>
              <w:pStyle w:val="NormalWeb"/>
              <w:rPr>
                <w:sz w:val="20"/>
                <w:szCs w:val="20"/>
              </w:rPr>
            </w:pPr>
            <w:r w:rsidRPr="005904BC">
              <w:rPr>
                <w:sz w:val="20"/>
                <w:szCs w:val="20"/>
              </w:rPr>
              <w:t>Md.22/(e)</w:t>
            </w:r>
          </w:p>
        </w:tc>
        <w:tc>
          <w:tcPr>
            <w:tcW w:w="1410" w:type="dxa"/>
            <w:noWrap/>
            <w:vAlign w:val="bottom"/>
            <w:hideMark/>
          </w:tcPr>
          <w:p w:rsidR="005904BC" w:rsidRPr="005904BC" w:rsidRDefault="005904BC">
            <w:pPr>
              <w:pStyle w:val="NormalWeb"/>
              <w:rPr>
                <w:sz w:val="20"/>
                <w:szCs w:val="20"/>
              </w:rPr>
            </w:pPr>
            <w:r w:rsidRPr="005904BC">
              <w:rPr>
                <w:sz w:val="20"/>
                <w:szCs w:val="20"/>
              </w:rPr>
              <w:t>K/D</w:t>
            </w:r>
          </w:p>
        </w:tc>
        <w:tc>
          <w:tcPr>
            <w:tcW w:w="1290" w:type="dxa"/>
            <w:noWrap/>
            <w:vAlign w:val="bottom"/>
            <w:hideMark/>
          </w:tcPr>
          <w:p w:rsidR="005904BC" w:rsidRPr="005904BC" w:rsidRDefault="005904BC">
            <w:pPr>
              <w:pStyle w:val="NormalWeb"/>
              <w:rPr>
                <w:sz w:val="20"/>
                <w:szCs w:val="20"/>
              </w:rPr>
            </w:pPr>
            <w:r w:rsidRPr="005904BC">
              <w:rPr>
                <w:sz w:val="20"/>
                <w:szCs w:val="20"/>
              </w:rPr>
              <w:t>K/D</w:t>
            </w:r>
          </w:p>
        </w:tc>
        <w:tc>
          <w:tcPr>
            <w:tcW w:w="91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2</w:t>
            </w:r>
          </w:p>
        </w:tc>
        <w:tc>
          <w:tcPr>
            <w:tcW w:w="3090" w:type="dxa"/>
            <w:noWrap/>
            <w:vAlign w:val="bottom"/>
            <w:hideMark/>
          </w:tcPr>
          <w:p w:rsidR="005904BC" w:rsidRPr="005904BC" w:rsidRDefault="005904BC">
            <w:pPr>
              <w:pStyle w:val="NormalWeb"/>
              <w:rPr>
                <w:sz w:val="20"/>
                <w:szCs w:val="20"/>
              </w:rPr>
            </w:pPr>
            <w:r w:rsidRPr="005904BC">
              <w:rPr>
                <w:sz w:val="20"/>
                <w:szCs w:val="20"/>
              </w:rPr>
              <w:t>Gayrimenkuller, Gayrimenkule Dayalı Projeler, Gayrimenkule Dayalı Haklar</w:t>
            </w:r>
          </w:p>
        </w:tc>
        <w:tc>
          <w:tcPr>
            <w:tcW w:w="1545" w:type="dxa"/>
            <w:noWrap/>
            <w:vAlign w:val="bottom"/>
            <w:hideMark/>
          </w:tcPr>
          <w:p w:rsidR="005904BC" w:rsidRPr="005904BC" w:rsidRDefault="005904BC">
            <w:pPr>
              <w:pStyle w:val="NormalWeb"/>
              <w:rPr>
                <w:sz w:val="20"/>
                <w:szCs w:val="20"/>
              </w:rPr>
            </w:pPr>
            <w:r w:rsidRPr="005904BC">
              <w:rPr>
                <w:sz w:val="20"/>
                <w:szCs w:val="20"/>
              </w:rPr>
              <w:t>Md.24/(a),(b)</w:t>
            </w:r>
          </w:p>
        </w:tc>
        <w:tc>
          <w:tcPr>
            <w:tcW w:w="1410" w:type="dxa"/>
            <w:noWrap/>
            <w:vAlign w:val="bottom"/>
            <w:hideMark/>
          </w:tcPr>
          <w:p w:rsidR="005904BC" w:rsidRPr="005904BC" w:rsidRDefault="005904BC">
            <w:pPr>
              <w:pStyle w:val="NormalWeb"/>
              <w:rPr>
                <w:sz w:val="20"/>
                <w:szCs w:val="20"/>
              </w:rPr>
            </w:pPr>
            <w:r w:rsidRPr="005904BC">
              <w:rPr>
                <w:sz w:val="20"/>
                <w:szCs w:val="20"/>
              </w:rPr>
              <w:t>(B+A1)/D</w:t>
            </w:r>
          </w:p>
        </w:tc>
        <w:tc>
          <w:tcPr>
            <w:tcW w:w="1290" w:type="dxa"/>
            <w:noWrap/>
            <w:vAlign w:val="bottom"/>
            <w:hideMark/>
          </w:tcPr>
          <w:p w:rsidR="005904BC" w:rsidRPr="005904BC" w:rsidRDefault="005904BC">
            <w:pPr>
              <w:pStyle w:val="NormalWeb"/>
              <w:rPr>
                <w:sz w:val="20"/>
                <w:szCs w:val="20"/>
              </w:rPr>
            </w:pPr>
            <w:r w:rsidRPr="005904BC">
              <w:rPr>
                <w:sz w:val="20"/>
                <w:szCs w:val="20"/>
              </w:rPr>
              <w:t>(B+A1)/D</w:t>
            </w:r>
          </w:p>
        </w:tc>
        <w:tc>
          <w:tcPr>
            <w:tcW w:w="915" w:type="dxa"/>
            <w:noWrap/>
            <w:vAlign w:val="bottom"/>
            <w:hideMark/>
          </w:tcPr>
          <w:p w:rsidR="005904BC" w:rsidRPr="005904BC" w:rsidRDefault="005904BC">
            <w:pPr>
              <w:pStyle w:val="NormalWeb"/>
              <w:rPr>
                <w:sz w:val="20"/>
                <w:szCs w:val="20"/>
              </w:rPr>
            </w:pPr>
            <w:r w:rsidRPr="005904BC">
              <w:rPr>
                <w:sz w:val="20"/>
                <w:szCs w:val="20"/>
              </w:rPr>
              <w:t>≥ %51</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3</w:t>
            </w:r>
          </w:p>
        </w:tc>
        <w:tc>
          <w:tcPr>
            <w:tcW w:w="3090" w:type="dxa"/>
            <w:noWrap/>
            <w:vAlign w:val="bottom"/>
            <w:hideMark/>
          </w:tcPr>
          <w:p w:rsidR="005904BC" w:rsidRPr="005904BC" w:rsidRDefault="005904BC">
            <w:pPr>
              <w:pStyle w:val="NormalWeb"/>
              <w:rPr>
                <w:sz w:val="20"/>
                <w:szCs w:val="20"/>
              </w:rPr>
            </w:pPr>
            <w:r w:rsidRPr="005904BC">
              <w:rPr>
                <w:sz w:val="20"/>
                <w:szCs w:val="20"/>
              </w:rPr>
              <w:t>Para ve Sermaye Piyasası Araçları ile İştirakler</w:t>
            </w:r>
          </w:p>
        </w:tc>
        <w:tc>
          <w:tcPr>
            <w:tcW w:w="1545" w:type="dxa"/>
            <w:noWrap/>
            <w:vAlign w:val="bottom"/>
            <w:hideMark/>
          </w:tcPr>
          <w:p w:rsidR="005904BC" w:rsidRPr="005904BC" w:rsidRDefault="005904BC">
            <w:pPr>
              <w:pStyle w:val="NormalWeb"/>
              <w:rPr>
                <w:sz w:val="20"/>
                <w:szCs w:val="20"/>
              </w:rPr>
            </w:pPr>
            <w:r w:rsidRPr="005904BC">
              <w:rPr>
                <w:sz w:val="20"/>
                <w:szCs w:val="20"/>
              </w:rPr>
              <w:t>Md.24/(b)</w:t>
            </w:r>
          </w:p>
        </w:tc>
        <w:tc>
          <w:tcPr>
            <w:tcW w:w="1410" w:type="dxa"/>
            <w:noWrap/>
            <w:vAlign w:val="bottom"/>
            <w:hideMark/>
          </w:tcPr>
          <w:p w:rsidR="005904BC" w:rsidRPr="005904BC" w:rsidRDefault="005904BC">
            <w:pPr>
              <w:pStyle w:val="NormalWeb"/>
              <w:rPr>
                <w:sz w:val="20"/>
                <w:szCs w:val="20"/>
              </w:rPr>
            </w:pPr>
            <w:r w:rsidRPr="005904BC">
              <w:rPr>
                <w:sz w:val="20"/>
                <w:szCs w:val="20"/>
              </w:rPr>
              <w:t>(A+C-A1)/D</w:t>
            </w:r>
          </w:p>
        </w:tc>
        <w:tc>
          <w:tcPr>
            <w:tcW w:w="1290" w:type="dxa"/>
            <w:noWrap/>
            <w:vAlign w:val="bottom"/>
            <w:hideMark/>
          </w:tcPr>
          <w:p w:rsidR="005904BC" w:rsidRPr="005904BC" w:rsidRDefault="005904BC">
            <w:pPr>
              <w:pStyle w:val="NormalWeb"/>
              <w:rPr>
                <w:sz w:val="20"/>
                <w:szCs w:val="20"/>
              </w:rPr>
            </w:pPr>
            <w:r w:rsidRPr="005904BC">
              <w:rPr>
                <w:sz w:val="20"/>
                <w:szCs w:val="20"/>
              </w:rPr>
              <w:t>(A+C-A1)/D</w:t>
            </w:r>
          </w:p>
        </w:tc>
        <w:tc>
          <w:tcPr>
            <w:tcW w:w="915" w:type="dxa"/>
            <w:noWrap/>
            <w:vAlign w:val="bottom"/>
            <w:hideMark/>
          </w:tcPr>
          <w:p w:rsidR="005904BC" w:rsidRPr="005904BC" w:rsidRDefault="005904BC">
            <w:pPr>
              <w:pStyle w:val="NormalWeb"/>
              <w:rPr>
                <w:sz w:val="20"/>
                <w:szCs w:val="20"/>
              </w:rPr>
            </w:pPr>
            <w:r w:rsidRPr="005904BC">
              <w:rPr>
                <w:sz w:val="20"/>
                <w:szCs w:val="20"/>
              </w:rPr>
              <w:t>≤ %49</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4</w:t>
            </w:r>
          </w:p>
        </w:tc>
        <w:tc>
          <w:tcPr>
            <w:tcW w:w="3090" w:type="dxa"/>
            <w:vAlign w:val="bottom"/>
            <w:hideMark/>
          </w:tcPr>
          <w:p w:rsidR="005904BC" w:rsidRPr="005904BC" w:rsidRDefault="005904BC">
            <w:pPr>
              <w:pStyle w:val="NormalWeb"/>
              <w:rPr>
                <w:sz w:val="20"/>
                <w:szCs w:val="20"/>
              </w:rPr>
            </w:pPr>
            <w:r w:rsidRPr="005904BC">
              <w:rPr>
                <w:sz w:val="20"/>
                <w:szCs w:val="20"/>
              </w:rPr>
              <w:t xml:space="preserve">Yabancı Gayrimenkuller, </w:t>
            </w:r>
            <w:r w:rsidRPr="005904BC">
              <w:rPr>
                <w:sz w:val="20"/>
                <w:szCs w:val="20"/>
              </w:rPr>
              <w:lastRenderedPageBreak/>
              <w:t>Gayrimenkule Dayalı Projeler, Gayrimenkule Dayalı Haklar, İştirakler, Sermaye Piyasası Araçları</w:t>
            </w:r>
          </w:p>
        </w:tc>
        <w:tc>
          <w:tcPr>
            <w:tcW w:w="1545" w:type="dxa"/>
            <w:noWrap/>
            <w:vAlign w:val="center"/>
            <w:hideMark/>
          </w:tcPr>
          <w:p w:rsidR="005904BC" w:rsidRPr="005904BC" w:rsidRDefault="005904BC">
            <w:pPr>
              <w:pStyle w:val="NormalWeb"/>
              <w:rPr>
                <w:sz w:val="20"/>
                <w:szCs w:val="20"/>
              </w:rPr>
            </w:pPr>
            <w:r w:rsidRPr="005904BC">
              <w:rPr>
                <w:sz w:val="20"/>
                <w:szCs w:val="20"/>
              </w:rPr>
              <w:lastRenderedPageBreak/>
              <w:t>Md.24/(d)</w:t>
            </w:r>
          </w:p>
        </w:tc>
        <w:tc>
          <w:tcPr>
            <w:tcW w:w="1410" w:type="dxa"/>
            <w:noWrap/>
            <w:vAlign w:val="center"/>
            <w:hideMark/>
          </w:tcPr>
          <w:p w:rsidR="005904BC" w:rsidRPr="005904BC" w:rsidRDefault="005904BC">
            <w:pPr>
              <w:pStyle w:val="NormalWeb"/>
              <w:rPr>
                <w:sz w:val="20"/>
                <w:szCs w:val="20"/>
              </w:rPr>
            </w:pPr>
            <w:r w:rsidRPr="005904BC">
              <w:rPr>
                <w:sz w:val="20"/>
                <w:szCs w:val="20"/>
              </w:rPr>
              <w:t>(A3+B1+C1)/D</w:t>
            </w:r>
          </w:p>
        </w:tc>
        <w:tc>
          <w:tcPr>
            <w:tcW w:w="1290" w:type="dxa"/>
            <w:noWrap/>
            <w:vAlign w:val="center"/>
            <w:hideMark/>
          </w:tcPr>
          <w:p w:rsidR="005904BC" w:rsidRPr="005904BC" w:rsidRDefault="005904BC">
            <w:pPr>
              <w:pStyle w:val="NormalWeb"/>
              <w:rPr>
                <w:sz w:val="20"/>
                <w:szCs w:val="20"/>
              </w:rPr>
            </w:pPr>
            <w:r w:rsidRPr="005904BC">
              <w:rPr>
                <w:sz w:val="20"/>
                <w:szCs w:val="20"/>
              </w:rPr>
              <w:t>(A3+B1+C1)/D</w:t>
            </w:r>
          </w:p>
        </w:tc>
        <w:tc>
          <w:tcPr>
            <w:tcW w:w="915" w:type="dxa"/>
            <w:noWrap/>
            <w:vAlign w:val="center"/>
            <w:hideMark/>
          </w:tcPr>
          <w:p w:rsidR="005904BC" w:rsidRPr="005904BC" w:rsidRDefault="005904BC">
            <w:pPr>
              <w:pStyle w:val="NormalWeb"/>
              <w:rPr>
                <w:sz w:val="20"/>
                <w:szCs w:val="20"/>
              </w:rPr>
            </w:pPr>
            <w:r w:rsidRPr="005904BC">
              <w:rPr>
                <w:sz w:val="20"/>
                <w:szCs w:val="20"/>
              </w:rPr>
              <w:t>≤ %49</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lastRenderedPageBreak/>
              <w:t>5</w:t>
            </w:r>
          </w:p>
        </w:tc>
        <w:tc>
          <w:tcPr>
            <w:tcW w:w="3090" w:type="dxa"/>
            <w:noWrap/>
            <w:vAlign w:val="bottom"/>
            <w:hideMark/>
          </w:tcPr>
          <w:p w:rsidR="005904BC" w:rsidRPr="005904BC" w:rsidRDefault="005904BC">
            <w:pPr>
              <w:pStyle w:val="NormalWeb"/>
              <w:rPr>
                <w:sz w:val="20"/>
                <w:szCs w:val="20"/>
              </w:rPr>
            </w:pPr>
            <w:r w:rsidRPr="005904BC">
              <w:rPr>
                <w:sz w:val="20"/>
                <w:szCs w:val="20"/>
              </w:rPr>
              <w:t>Atıl Tutulan Arsa/Araziler</w:t>
            </w:r>
          </w:p>
        </w:tc>
        <w:tc>
          <w:tcPr>
            <w:tcW w:w="1545" w:type="dxa"/>
            <w:noWrap/>
            <w:vAlign w:val="bottom"/>
            <w:hideMark/>
          </w:tcPr>
          <w:p w:rsidR="005904BC" w:rsidRPr="005904BC" w:rsidRDefault="005904BC">
            <w:pPr>
              <w:pStyle w:val="NormalWeb"/>
              <w:rPr>
                <w:sz w:val="20"/>
                <w:szCs w:val="20"/>
              </w:rPr>
            </w:pPr>
            <w:r w:rsidRPr="005904BC">
              <w:rPr>
                <w:sz w:val="20"/>
                <w:szCs w:val="20"/>
              </w:rPr>
              <w:t>Md.24/(c)</w:t>
            </w:r>
          </w:p>
        </w:tc>
        <w:tc>
          <w:tcPr>
            <w:tcW w:w="1410" w:type="dxa"/>
            <w:noWrap/>
            <w:vAlign w:val="bottom"/>
            <w:hideMark/>
          </w:tcPr>
          <w:p w:rsidR="005904BC" w:rsidRPr="005904BC" w:rsidRDefault="005904BC">
            <w:pPr>
              <w:pStyle w:val="NormalWeb"/>
              <w:rPr>
                <w:sz w:val="20"/>
                <w:szCs w:val="20"/>
              </w:rPr>
            </w:pPr>
            <w:r w:rsidRPr="005904BC">
              <w:rPr>
                <w:sz w:val="20"/>
                <w:szCs w:val="20"/>
              </w:rPr>
              <w:t>B2/D</w:t>
            </w:r>
          </w:p>
        </w:tc>
        <w:tc>
          <w:tcPr>
            <w:tcW w:w="1290" w:type="dxa"/>
            <w:noWrap/>
            <w:vAlign w:val="bottom"/>
            <w:hideMark/>
          </w:tcPr>
          <w:p w:rsidR="005904BC" w:rsidRPr="005904BC" w:rsidRDefault="005904BC">
            <w:pPr>
              <w:pStyle w:val="NormalWeb"/>
              <w:rPr>
                <w:sz w:val="20"/>
                <w:szCs w:val="20"/>
              </w:rPr>
            </w:pPr>
            <w:r w:rsidRPr="005904BC">
              <w:rPr>
                <w:sz w:val="20"/>
                <w:szCs w:val="20"/>
              </w:rPr>
              <w:t>B2/D</w:t>
            </w:r>
          </w:p>
        </w:tc>
        <w:tc>
          <w:tcPr>
            <w:tcW w:w="915" w:type="dxa"/>
            <w:noWrap/>
            <w:vAlign w:val="bottom"/>
            <w:hideMark/>
          </w:tcPr>
          <w:p w:rsidR="005904BC" w:rsidRPr="005904BC" w:rsidRDefault="005904BC">
            <w:pPr>
              <w:pStyle w:val="NormalWeb"/>
              <w:rPr>
                <w:sz w:val="20"/>
                <w:szCs w:val="20"/>
              </w:rPr>
            </w:pPr>
            <w:r w:rsidRPr="005904BC">
              <w:rPr>
                <w:sz w:val="20"/>
                <w:szCs w:val="20"/>
              </w:rPr>
              <w:t>≤ %20</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6</w:t>
            </w:r>
          </w:p>
        </w:tc>
        <w:tc>
          <w:tcPr>
            <w:tcW w:w="3090" w:type="dxa"/>
            <w:noWrap/>
            <w:vAlign w:val="bottom"/>
            <w:hideMark/>
          </w:tcPr>
          <w:p w:rsidR="005904BC" w:rsidRPr="005904BC" w:rsidRDefault="005904BC">
            <w:pPr>
              <w:pStyle w:val="NormalWeb"/>
              <w:rPr>
                <w:sz w:val="20"/>
                <w:szCs w:val="20"/>
              </w:rPr>
            </w:pPr>
            <w:r w:rsidRPr="005904BC">
              <w:rPr>
                <w:sz w:val="20"/>
                <w:szCs w:val="20"/>
              </w:rPr>
              <w:t>İşletmeci Şirkete İştirak</w:t>
            </w:r>
          </w:p>
        </w:tc>
        <w:tc>
          <w:tcPr>
            <w:tcW w:w="1545" w:type="dxa"/>
            <w:noWrap/>
            <w:vAlign w:val="bottom"/>
            <w:hideMark/>
          </w:tcPr>
          <w:p w:rsidR="005904BC" w:rsidRPr="005904BC" w:rsidRDefault="005904BC">
            <w:pPr>
              <w:pStyle w:val="NormalWeb"/>
              <w:rPr>
                <w:sz w:val="20"/>
                <w:szCs w:val="20"/>
              </w:rPr>
            </w:pPr>
            <w:r w:rsidRPr="005904BC">
              <w:rPr>
                <w:sz w:val="20"/>
                <w:szCs w:val="20"/>
              </w:rPr>
              <w:t>Md.28/1(a)</w:t>
            </w:r>
          </w:p>
        </w:tc>
        <w:tc>
          <w:tcPr>
            <w:tcW w:w="1410" w:type="dxa"/>
            <w:noWrap/>
            <w:vAlign w:val="bottom"/>
            <w:hideMark/>
          </w:tcPr>
          <w:p w:rsidR="005904BC" w:rsidRPr="005904BC" w:rsidRDefault="005904BC">
            <w:pPr>
              <w:pStyle w:val="NormalWeb"/>
              <w:rPr>
                <w:sz w:val="20"/>
                <w:szCs w:val="20"/>
              </w:rPr>
            </w:pPr>
            <w:r w:rsidRPr="005904BC">
              <w:rPr>
                <w:sz w:val="20"/>
                <w:szCs w:val="20"/>
              </w:rPr>
              <w:t>C2/D</w:t>
            </w:r>
          </w:p>
        </w:tc>
        <w:tc>
          <w:tcPr>
            <w:tcW w:w="1290" w:type="dxa"/>
            <w:noWrap/>
            <w:vAlign w:val="bottom"/>
            <w:hideMark/>
          </w:tcPr>
          <w:p w:rsidR="005904BC" w:rsidRPr="005904BC" w:rsidRDefault="005904BC">
            <w:pPr>
              <w:pStyle w:val="NormalWeb"/>
              <w:rPr>
                <w:sz w:val="20"/>
                <w:szCs w:val="20"/>
              </w:rPr>
            </w:pPr>
            <w:r w:rsidRPr="005904BC">
              <w:rPr>
                <w:sz w:val="20"/>
                <w:szCs w:val="20"/>
              </w:rPr>
              <w:t>C2/D</w:t>
            </w:r>
          </w:p>
        </w:tc>
        <w:tc>
          <w:tcPr>
            <w:tcW w:w="91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7</w:t>
            </w:r>
          </w:p>
        </w:tc>
        <w:tc>
          <w:tcPr>
            <w:tcW w:w="3090" w:type="dxa"/>
            <w:noWrap/>
            <w:vAlign w:val="bottom"/>
            <w:hideMark/>
          </w:tcPr>
          <w:p w:rsidR="005904BC" w:rsidRPr="005904BC" w:rsidRDefault="005904BC">
            <w:pPr>
              <w:pStyle w:val="NormalWeb"/>
              <w:rPr>
                <w:sz w:val="20"/>
                <w:szCs w:val="20"/>
              </w:rPr>
            </w:pPr>
            <w:r w:rsidRPr="005904BC">
              <w:rPr>
                <w:sz w:val="20"/>
                <w:szCs w:val="20"/>
              </w:rPr>
              <w:t>Borçlanma Sınırı</w:t>
            </w:r>
          </w:p>
        </w:tc>
        <w:tc>
          <w:tcPr>
            <w:tcW w:w="1545" w:type="dxa"/>
            <w:noWrap/>
            <w:vAlign w:val="bottom"/>
            <w:hideMark/>
          </w:tcPr>
          <w:p w:rsidR="005904BC" w:rsidRPr="005904BC" w:rsidRDefault="005904BC">
            <w:pPr>
              <w:pStyle w:val="NormalWeb"/>
              <w:rPr>
                <w:sz w:val="20"/>
                <w:szCs w:val="20"/>
              </w:rPr>
            </w:pPr>
            <w:r w:rsidRPr="005904BC">
              <w:rPr>
                <w:sz w:val="20"/>
                <w:szCs w:val="20"/>
              </w:rPr>
              <w:t>Md.31</w:t>
            </w:r>
          </w:p>
        </w:tc>
        <w:tc>
          <w:tcPr>
            <w:tcW w:w="1410" w:type="dxa"/>
            <w:noWrap/>
            <w:vAlign w:val="bottom"/>
            <w:hideMark/>
          </w:tcPr>
          <w:p w:rsidR="005904BC" w:rsidRPr="005904BC" w:rsidRDefault="005904BC">
            <w:pPr>
              <w:pStyle w:val="NormalWeb"/>
              <w:rPr>
                <w:sz w:val="20"/>
                <w:szCs w:val="20"/>
              </w:rPr>
            </w:pPr>
            <w:r w:rsidRPr="005904BC">
              <w:rPr>
                <w:sz w:val="20"/>
                <w:szCs w:val="20"/>
              </w:rPr>
              <w:t>(E+F+G+H+J)/İ</w:t>
            </w:r>
          </w:p>
        </w:tc>
        <w:tc>
          <w:tcPr>
            <w:tcW w:w="1290" w:type="dxa"/>
            <w:noWrap/>
            <w:vAlign w:val="bottom"/>
            <w:hideMark/>
          </w:tcPr>
          <w:p w:rsidR="005904BC" w:rsidRPr="005904BC" w:rsidRDefault="005904BC">
            <w:pPr>
              <w:pStyle w:val="NormalWeb"/>
              <w:rPr>
                <w:sz w:val="20"/>
                <w:szCs w:val="20"/>
              </w:rPr>
            </w:pPr>
            <w:r w:rsidRPr="005904BC">
              <w:rPr>
                <w:sz w:val="20"/>
                <w:szCs w:val="20"/>
              </w:rPr>
              <w:t>(E+F+G+H+J)/İ</w:t>
            </w:r>
          </w:p>
        </w:tc>
        <w:tc>
          <w:tcPr>
            <w:tcW w:w="915" w:type="dxa"/>
            <w:noWrap/>
            <w:vAlign w:val="bottom"/>
            <w:hideMark/>
          </w:tcPr>
          <w:p w:rsidR="005904BC" w:rsidRPr="005904BC" w:rsidRDefault="005904BC">
            <w:pPr>
              <w:pStyle w:val="NormalWeb"/>
              <w:rPr>
                <w:sz w:val="20"/>
                <w:szCs w:val="20"/>
              </w:rPr>
            </w:pPr>
            <w:r w:rsidRPr="005904BC">
              <w:rPr>
                <w:sz w:val="20"/>
                <w:szCs w:val="20"/>
              </w:rPr>
              <w:t>≤ %500</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8</w:t>
            </w:r>
          </w:p>
        </w:tc>
        <w:tc>
          <w:tcPr>
            <w:tcW w:w="3090" w:type="dxa"/>
            <w:noWrap/>
            <w:vAlign w:val="bottom"/>
            <w:hideMark/>
          </w:tcPr>
          <w:p w:rsidR="005904BC" w:rsidRPr="005904BC" w:rsidRDefault="005904BC">
            <w:pPr>
              <w:pStyle w:val="NormalWeb"/>
              <w:rPr>
                <w:sz w:val="20"/>
                <w:szCs w:val="20"/>
              </w:rPr>
            </w:pPr>
            <w:r w:rsidRPr="005904BC">
              <w:rPr>
                <w:sz w:val="20"/>
                <w:szCs w:val="20"/>
              </w:rPr>
              <w:t>Döviz Cinsinden Vadeli-Vadesiz Mevduat / Özel Cari-Katılma Hesabı ve TL Cinsinden Vadeli Mevduat / Katılma Hesabı</w:t>
            </w:r>
          </w:p>
        </w:tc>
        <w:tc>
          <w:tcPr>
            <w:tcW w:w="1545" w:type="dxa"/>
            <w:noWrap/>
            <w:vAlign w:val="bottom"/>
            <w:hideMark/>
          </w:tcPr>
          <w:p w:rsidR="005904BC" w:rsidRPr="005904BC" w:rsidRDefault="005904BC">
            <w:pPr>
              <w:pStyle w:val="NormalWeb"/>
              <w:rPr>
                <w:sz w:val="20"/>
                <w:szCs w:val="20"/>
              </w:rPr>
            </w:pPr>
            <w:r w:rsidRPr="005904BC">
              <w:rPr>
                <w:sz w:val="20"/>
                <w:szCs w:val="20"/>
              </w:rPr>
              <w:t>Md.24/(b)</w:t>
            </w:r>
          </w:p>
        </w:tc>
        <w:tc>
          <w:tcPr>
            <w:tcW w:w="1410" w:type="dxa"/>
            <w:noWrap/>
            <w:vAlign w:val="bottom"/>
            <w:hideMark/>
          </w:tcPr>
          <w:p w:rsidR="005904BC" w:rsidRPr="005904BC" w:rsidRDefault="005904BC">
            <w:pPr>
              <w:pStyle w:val="NormalWeb"/>
              <w:rPr>
                <w:sz w:val="20"/>
                <w:szCs w:val="20"/>
              </w:rPr>
            </w:pPr>
            <w:r w:rsidRPr="005904BC">
              <w:rPr>
                <w:sz w:val="20"/>
                <w:szCs w:val="20"/>
              </w:rPr>
              <w:t>(A2-A1)/D</w:t>
            </w:r>
          </w:p>
        </w:tc>
        <w:tc>
          <w:tcPr>
            <w:tcW w:w="1290" w:type="dxa"/>
            <w:noWrap/>
            <w:vAlign w:val="bottom"/>
            <w:hideMark/>
          </w:tcPr>
          <w:p w:rsidR="005904BC" w:rsidRPr="005904BC" w:rsidRDefault="005904BC">
            <w:pPr>
              <w:pStyle w:val="NormalWeb"/>
              <w:rPr>
                <w:sz w:val="20"/>
                <w:szCs w:val="20"/>
              </w:rPr>
            </w:pPr>
            <w:r w:rsidRPr="005904BC">
              <w:rPr>
                <w:sz w:val="20"/>
                <w:szCs w:val="20"/>
              </w:rPr>
              <w:t>(A2-A1)/D</w:t>
            </w:r>
          </w:p>
        </w:tc>
        <w:tc>
          <w:tcPr>
            <w:tcW w:w="91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255" w:type="dxa"/>
            <w:noWrap/>
            <w:vAlign w:val="center"/>
            <w:hideMark/>
          </w:tcPr>
          <w:p w:rsidR="005904BC" w:rsidRPr="005904BC" w:rsidRDefault="005904BC">
            <w:pPr>
              <w:pStyle w:val="NormalWeb"/>
              <w:rPr>
                <w:sz w:val="20"/>
                <w:szCs w:val="20"/>
              </w:rPr>
            </w:pPr>
            <w:r w:rsidRPr="005904BC">
              <w:rPr>
                <w:sz w:val="20"/>
                <w:szCs w:val="20"/>
              </w:rPr>
              <w:t>9</w:t>
            </w:r>
          </w:p>
        </w:tc>
        <w:tc>
          <w:tcPr>
            <w:tcW w:w="3090" w:type="dxa"/>
            <w:noWrap/>
            <w:vAlign w:val="bottom"/>
            <w:hideMark/>
          </w:tcPr>
          <w:p w:rsidR="005904BC" w:rsidRPr="005904BC" w:rsidRDefault="005904BC">
            <w:pPr>
              <w:pStyle w:val="NormalWeb"/>
              <w:rPr>
                <w:sz w:val="20"/>
                <w:szCs w:val="20"/>
              </w:rPr>
            </w:pPr>
            <w:r w:rsidRPr="005904BC">
              <w:rPr>
                <w:sz w:val="20"/>
                <w:szCs w:val="20"/>
              </w:rPr>
              <w:t>Tek Bir Şirketteki Para ve Sermaye Piyasası Araçları Yatırımlarının Toplamı</w:t>
            </w:r>
          </w:p>
        </w:tc>
        <w:tc>
          <w:tcPr>
            <w:tcW w:w="1545" w:type="dxa"/>
            <w:noWrap/>
            <w:vAlign w:val="bottom"/>
            <w:hideMark/>
          </w:tcPr>
          <w:p w:rsidR="005904BC" w:rsidRPr="005904BC" w:rsidRDefault="005904BC">
            <w:pPr>
              <w:pStyle w:val="NormalWeb"/>
              <w:rPr>
                <w:sz w:val="20"/>
                <w:szCs w:val="20"/>
              </w:rPr>
            </w:pPr>
            <w:r w:rsidRPr="005904BC">
              <w:rPr>
                <w:sz w:val="20"/>
                <w:szCs w:val="20"/>
              </w:rPr>
              <w:t>Md.22/(l)</w:t>
            </w:r>
          </w:p>
        </w:tc>
        <w:tc>
          <w:tcPr>
            <w:tcW w:w="1410" w:type="dxa"/>
            <w:noWrap/>
            <w:vAlign w:val="bottom"/>
            <w:hideMark/>
          </w:tcPr>
          <w:p w:rsidR="005904BC" w:rsidRPr="005904BC" w:rsidRDefault="005904BC">
            <w:pPr>
              <w:pStyle w:val="NormalWeb"/>
              <w:rPr>
                <w:sz w:val="20"/>
                <w:szCs w:val="20"/>
              </w:rPr>
            </w:pPr>
            <w:r w:rsidRPr="005904BC">
              <w:rPr>
                <w:sz w:val="20"/>
                <w:szCs w:val="20"/>
              </w:rPr>
              <w:t>L/D</w:t>
            </w:r>
          </w:p>
        </w:tc>
        <w:tc>
          <w:tcPr>
            <w:tcW w:w="1290" w:type="dxa"/>
            <w:noWrap/>
            <w:vAlign w:val="bottom"/>
            <w:hideMark/>
          </w:tcPr>
          <w:p w:rsidR="005904BC" w:rsidRPr="005904BC" w:rsidRDefault="005904BC">
            <w:pPr>
              <w:pStyle w:val="NormalWeb"/>
              <w:rPr>
                <w:sz w:val="20"/>
                <w:szCs w:val="20"/>
              </w:rPr>
            </w:pPr>
            <w:r w:rsidRPr="005904BC">
              <w:rPr>
                <w:sz w:val="20"/>
                <w:szCs w:val="20"/>
              </w:rPr>
              <w:t>L/D</w:t>
            </w:r>
          </w:p>
        </w:tc>
        <w:tc>
          <w:tcPr>
            <w:tcW w:w="915" w:type="dxa"/>
            <w:noWrap/>
            <w:vAlign w:val="bottom"/>
            <w:hideMark/>
          </w:tcPr>
          <w:p w:rsidR="005904BC" w:rsidRPr="005904BC" w:rsidRDefault="005904BC">
            <w:pPr>
              <w:pStyle w:val="NormalWeb"/>
              <w:rPr>
                <w:sz w:val="20"/>
                <w:szCs w:val="20"/>
              </w:rPr>
            </w:pPr>
            <w:r w:rsidRPr="005904BC">
              <w:rPr>
                <w:sz w:val="20"/>
                <w:szCs w:val="20"/>
              </w:rPr>
              <w:t>≤ %10</w:t>
            </w:r>
          </w:p>
        </w:tc>
      </w:tr>
    </w:tbl>
    <w:p w:rsidR="005904BC" w:rsidRPr="005904BC" w:rsidRDefault="005904BC" w:rsidP="005904BC">
      <w:pPr>
        <w:pStyle w:val="NormalWeb"/>
        <w:rPr>
          <w:sz w:val="20"/>
          <w:szCs w:val="20"/>
        </w:rPr>
      </w:pPr>
      <w:r w:rsidRPr="005904BC">
        <w:rPr>
          <w:sz w:val="20"/>
          <w:szCs w:val="20"/>
        </w:rPr>
        <w:t> </w:t>
      </w:r>
    </w:p>
    <w:tbl>
      <w:tblPr>
        <w:tblW w:w="85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5280"/>
        <w:gridCol w:w="1200"/>
        <w:gridCol w:w="930"/>
        <w:gridCol w:w="750"/>
      </w:tblGrid>
      <w:tr w:rsidR="005904BC" w:rsidRPr="005904BC">
        <w:trPr>
          <w:tblCellSpacing w:w="0" w:type="dxa"/>
          <w:jc w:val="center"/>
        </w:trPr>
        <w:tc>
          <w:tcPr>
            <w:tcW w:w="8535" w:type="dxa"/>
            <w:gridSpan w:val="5"/>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Ek Dipnot:  Portföy Sınırlamalarına Uyumun Kontrolü </w:t>
            </w:r>
          </w:p>
          <w:p w:rsidR="005904BC" w:rsidRPr="005904BC" w:rsidRDefault="005904BC">
            <w:pPr>
              <w:pStyle w:val="NormalWeb"/>
              <w:rPr>
                <w:sz w:val="20"/>
                <w:szCs w:val="20"/>
              </w:rPr>
            </w:pPr>
            <w:r w:rsidRPr="005904BC">
              <w:rPr>
                <w:rStyle w:val="Gl"/>
                <w:sz w:val="20"/>
                <w:szCs w:val="20"/>
              </w:rPr>
              <w:t>/Münhasıran Altyapı Yatırım ve Hizmetlerinden Oluşan Portföyü İşleten Ortaklıklar</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Konsolide Olmayan/Bireysel Finansal Tablo Ana Hesap Kalemleri</w:t>
            </w:r>
          </w:p>
        </w:tc>
        <w:tc>
          <w:tcPr>
            <w:tcW w:w="117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t>İlgili Düzenleme</w:t>
            </w:r>
          </w:p>
        </w:tc>
        <w:tc>
          <w:tcPr>
            <w:tcW w:w="90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Cari Dönem (TL)</w:t>
            </w:r>
          </w:p>
        </w:tc>
        <w:tc>
          <w:tcPr>
            <w:tcW w:w="72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Önceki Dönem</w:t>
            </w:r>
          </w:p>
          <w:p w:rsidR="005904BC" w:rsidRPr="005904BC" w:rsidRDefault="005904BC">
            <w:pPr>
              <w:pStyle w:val="NormalWeb"/>
              <w:rPr>
                <w:sz w:val="20"/>
                <w:szCs w:val="20"/>
              </w:rPr>
            </w:pPr>
            <w:r w:rsidRPr="005904BC">
              <w:rPr>
                <w:rStyle w:val="Gl"/>
                <w:sz w:val="20"/>
                <w:szCs w:val="20"/>
              </w:rPr>
              <w:t>(TL)</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A</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Para ve Sermaye Piyasası Araçları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Md.24/(b)</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B1</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xml:space="preserve">Altyapı Yatırım ve Hizmetleri ile Bu Yatırım ve Hizmetlere İlişkin Projelere ve Bunlara Dayalı Haklara Yapılan Yatırımlar </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Md.24/(a)</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B2</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Ortak Olmak veya Borçlanma Aracı Satın Almak Suretiyle Altyapı Şirketlerine Yapılan Yatırım</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Md.24/(a)</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B3</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Ortak Olmak veya Borçlanma Aracı Satın Almak Suretiyle Münhasıran Altyapı Yatırım ve Hizmetlerinden Oluşan Portföyü İşleten Diğer Ortaklıklara Yapılan Yatırım</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Md.24/(a)</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C</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İştirakler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Md.24/(b)</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 </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İlişkili Taraflardan Alacaklar (Ticari Olmayan)</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Md.23/(f)</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 </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Diğer Varlıklar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D</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Toplam Varlıklar (Aktif Toplamı)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Md.3/(p)</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E</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Finansal Borçlar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F</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Diğer Finansal Yükümlülükler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G</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Finansal Kiralama Borçları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H</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İlişkili Taraflara Borçlar (Ticari Olmayan)</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Md.23/(f)</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İ</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proofErr w:type="spellStart"/>
            <w:r w:rsidRPr="005904BC">
              <w:rPr>
                <w:sz w:val="20"/>
                <w:szCs w:val="20"/>
              </w:rPr>
              <w:t>Özkaynaklar</w:t>
            </w:r>
            <w:proofErr w:type="spellEnd"/>
            <w:r w:rsidRPr="005904BC">
              <w:rPr>
                <w:sz w:val="20"/>
                <w:szCs w:val="20"/>
              </w:rPr>
              <w:t xml:space="preserve"> </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 </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Diğer Kaynaklar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D</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Toplam Kaynaklar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Md.3/(p)</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 </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Konsolide Olmayan/Bireysel Diğer Finansal Bilgiler</w:t>
            </w:r>
          </w:p>
        </w:tc>
        <w:tc>
          <w:tcPr>
            <w:tcW w:w="117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t>İlgili Düzenleme</w:t>
            </w:r>
          </w:p>
        </w:tc>
        <w:tc>
          <w:tcPr>
            <w:tcW w:w="90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Cari Dönem (TL)</w:t>
            </w:r>
          </w:p>
        </w:tc>
        <w:tc>
          <w:tcPr>
            <w:tcW w:w="720" w:type="dxa"/>
            <w:tcBorders>
              <w:top w:val="outset" w:sz="6" w:space="0" w:color="auto"/>
              <w:left w:val="outset" w:sz="6" w:space="0" w:color="auto"/>
              <w:bottom w:val="outset" w:sz="6" w:space="0" w:color="auto"/>
              <w:right w:val="outset" w:sz="6" w:space="0" w:color="auto"/>
            </w:tcBorders>
            <w:vAlign w:val="bottom"/>
            <w:hideMark/>
          </w:tcPr>
          <w:p w:rsidR="005904BC" w:rsidRPr="005904BC" w:rsidRDefault="005904BC">
            <w:pPr>
              <w:pStyle w:val="NormalWeb"/>
              <w:rPr>
                <w:sz w:val="20"/>
                <w:szCs w:val="20"/>
              </w:rPr>
            </w:pPr>
            <w:r w:rsidRPr="005904BC">
              <w:rPr>
                <w:rStyle w:val="Gl"/>
                <w:sz w:val="20"/>
                <w:szCs w:val="20"/>
              </w:rPr>
              <w:t>Önceki Dönem (TL)</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A1</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Para ve Sermaye Piyasası Araçlarının 3 Yıllık Altyapı Yatırım ve Hizmetleri Ödemeleri İçin Tutulan Kısmı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Md.24/(b)</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A2</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Döviz Cinsinden Vadeli-Vadesiz Mevduat / Özel Cari-Katılma Hesabı ve TL Cinsinden Vadeli Mevduat / Katılma Hesabı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Md.24/(b)</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C1</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İşletmeci Şirkete İştirak</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Md.28/2(a)</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J</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proofErr w:type="spellStart"/>
            <w:r w:rsidRPr="005904BC">
              <w:rPr>
                <w:sz w:val="20"/>
                <w:szCs w:val="20"/>
              </w:rPr>
              <w:t>Gayrinakdi</w:t>
            </w:r>
            <w:proofErr w:type="spellEnd"/>
            <w:r w:rsidRPr="005904BC">
              <w:rPr>
                <w:sz w:val="20"/>
                <w:szCs w:val="20"/>
              </w:rPr>
              <w:t> Krediler</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Md.31</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K</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Üzerinde Proje Geliştirilecek Mülkiyeti Ortaklığa Ait Olmayan İpotekli Arsaların İpotek Bedelleri</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Md.22/(e)</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r w:rsidR="005904BC" w:rsidRPr="005904BC">
        <w:trPr>
          <w:tblCellSpacing w:w="0" w:type="dxa"/>
          <w:jc w:val="center"/>
        </w:trPr>
        <w:tc>
          <w:tcPr>
            <w:tcW w:w="495"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rStyle w:val="Gl"/>
                <w:sz w:val="20"/>
                <w:szCs w:val="20"/>
              </w:rPr>
              <w:t>L</w:t>
            </w:r>
          </w:p>
        </w:tc>
        <w:tc>
          <w:tcPr>
            <w:tcW w:w="525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Tek Bir Şirketteki Para ve Sermaye Piyasası Araçları Yatırımlarının Toplamı</w:t>
            </w:r>
          </w:p>
        </w:tc>
        <w:tc>
          <w:tcPr>
            <w:tcW w:w="117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Md.22/(l)</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5904BC" w:rsidRPr="005904BC" w:rsidRDefault="005904BC">
            <w:pPr>
              <w:pStyle w:val="NormalWeb"/>
              <w:rPr>
                <w:sz w:val="20"/>
                <w:szCs w:val="20"/>
              </w:rPr>
            </w:pPr>
            <w:r w:rsidRPr="005904BC">
              <w:rPr>
                <w:sz w:val="20"/>
                <w:szCs w:val="20"/>
              </w:rPr>
              <w:t> </w:t>
            </w:r>
          </w:p>
        </w:tc>
      </w:tr>
    </w:tbl>
    <w:p w:rsidR="005904BC" w:rsidRPr="005904BC" w:rsidRDefault="005904BC" w:rsidP="005904BC">
      <w:pPr>
        <w:pStyle w:val="NormalWeb"/>
        <w:rPr>
          <w:sz w:val="20"/>
          <w:szCs w:val="20"/>
        </w:rPr>
      </w:pPr>
      <w:r w:rsidRPr="005904BC">
        <w:rPr>
          <w:sz w:val="20"/>
          <w:szCs w:val="20"/>
        </w:rPr>
        <w:lastRenderedPageBreak/>
        <w:t> </w:t>
      </w:r>
    </w:p>
    <w:tbl>
      <w:tblPr>
        <w:tblW w:w="8475" w:type="dxa"/>
        <w:jc w:val="center"/>
        <w:tblCellSpacing w:w="0" w:type="dxa"/>
        <w:tblCellMar>
          <w:left w:w="0" w:type="dxa"/>
          <w:right w:w="0" w:type="dxa"/>
        </w:tblCellMar>
        <w:tblLook w:val="04A0"/>
      </w:tblPr>
      <w:tblGrid>
        <w:gridCol w:w="360"/>
        <w:gridCol w:w="2880"/>
        <w:gridCol w:w="1260"/>
        <w:gridCol w:w="1617"/>
        <w:gridCol w:w="1617"/>
        <w:gridCol w:w="1178"/>
      </w:tblGrid>
      <w:tr w:rsidR="005904BC" w:rsidRPr="005904BC">
        <w:trPr>
          <w:tblCellSpacing w:w="0" w:type="dxa"/>
          <w:jc w:val="center"/>
        </w:trPr>
        <w:tc>
          <w:tcPr>
            <w:tcW w:w="360" w:type="dxa"/>
            <w:noWrap/>
            <w:vAlign w:val="bottom"/>
            <w:hideMark/>
          </w:tcPr>
          <w:p w:rsidR="005904BC" w:rsidRPr="005904BC" w:rsidRDefault="005904BC">
            <w:pPr>
              <w:pStyle w:val="NormalWeb"/>
              <w:rPr>
                <w:sz w:val="20"/>
                <w:szCs w:val="20"/>
              </w:rPr>
            </w:pPr>
            <w:r w:rsidRPr="005904BC">
              <w:rPr>
                <w:sz w:val="20"/>
                <w:szCs w:val="20"/>
              </w:rPr>
              <w:t> </w:t>
            </w:r>
          </w:p>
        </w:tc>
        <w:tc>
          <w:tcPr>
            <w:tcW w:w="2880" w:type="dxa"/>
            <w:noWrap/>
            <w:vAlign w:val="bottom"/>
            <w:hideMark/>
          </w:tcPr>
          <w:p w:rsidR="005904BC" w:rsidRPr="005904BC" w:rsidRDefault="005904BC">
            <w:pPr>
              <w:pStyle w:val="NormalWeb"/>
              <w:rPr>
                <w:sz w:val="20"/>
                <w:szCs w:val="20"/>
              </w:rPr>
            </w:pPr>
            <w:r w:rsidRPr="005904BC">
              <w:rPr>
                <w:rStyle w:val="Gl"/>
                <w:sz w:val="20"/>
                <w:szCs w:val="20"/>
              </w:rPr>
              <w:t>Portföy Sınırlamaları/ Münhasıran Altyapı Yatırım ve Hizmetlerinden Oluşan Portföyü İşleten Ortaklıklar</w:t>
            </w:r>
          </w:p>
        </w:tc>
        <w:tc>
          <w:tcPr>
            <w:tcW w:w="1260" w:type="dxa"/>
            <w:vAlign w:val="bottom"/>
            <w:hideMark/>
          </w:tcPr>
          <w:p w:rsidR="005904BC" w:rsidRPr="005904BC" w:rsidRDefault="005904BC">
            <w:pPr>
              <w:pStyle w:val="NormalWeb"/>
              <w:rPr>
                <w:sz w:val="20"/>
                <w:szCs w:val="20"/>
              </w:rPr>
            </w:pPr>
            <w:r w:rsidRPr="005904BC">
              <w:rPr>
                <w:rStyle w:val="Gl"/>
                <w:sz w:val="20"/>
                <w:szCs w:val="20"/>
              </w:rPr>
              <w:t>Tebliğdeki</w:t>
            </w:r>
          </w:p>
          <w:p w:rsidR="005904BC" w:rsidRPr="005904BC" w:rsidRDefault="005904BC">
            <w:pPr>
              <w:pStyle w:val="NormalWeb"/>
              <w:rPr>
                <w:sz w:val="20"/>
                <w:szCs w:val="20"/>
              </w:rPr>
            </w:pPr>
            <w:r w:rsidRPr="005904BC">
              <w:rPr>
                <w:rStyle w:val="Gl"/>
                <w:sz w:val="20"/>
                <w:szCs w:val="20"/>
              </w:rPr>
              <w:t>İlgili Düzenleme</w:t>
            </w:r>
          </w:p>
        </w:tc>
        <w:tc>
          <w:tcPr>
            <w:tcW w:w="1425" w:type="dxa"/>
            <w:vAlign w:val="bottom"/>
            <w:hideMark/>
          </w:tcPr>
          <w:p w:rsidR="005904BC" w:rsidRPr="005904BC" w:rsidRDefault="005904BC">
            <w:pPr>
              <w:pStyle w:val="NormalWeb"/>
              <w:rPr>
                <w:sz w:val="20"/>
                <w:szCs w:val="20"/>
              </w:rPr>
            </w:pPr>
            <w:r w:rsidRPr="005904BC">
              <w:rPr>
                <w:rStyle w:val="Gl"/>
                <w:sz w:val="20"/>
                <w:szCs w:val="20"/>
              </w:rPr>
              <w:t>Cari Dönem</w:t>
            </w:r>
          </w:p>
        </w:tc>
        <w:tc>
          <w:tcPr>
            <w:tcW w:w="1470" w:type="dxa"/>
            <w:vAlign w:val="bottom"/>
            <w:hideMark/>
          </w:tcPr>
          <w:p w:rsidR="005904BC" w:rsidRPr="005904BC" w:rsidRDefault="005904BC">
            <w:pPr>
              <w:pStyle w:val="NormalWeb"/>
              <w:rPr>
                <w:sz w:val="20"/>
                <w:szCs w:val="20"/>
              </w:rPr>
            </w:pPr>
            <w:r w:rsidRPr="005904BC">
              <w:rPr>
                <w:rStyle w:val="Gl"/>
                <w:sz w:val="20"/>
                <w:szCs w:val="20"/>
              </w:rPr>
              <w:t>Önceki Dönem</w:t>
            </w:r>
          </w:p>
        </w:tc>
        <w:tc>
          <w:tcPr>
            <w:tcW w:w="1065" w:type="dxa"/>
            <w:vAlign w:val="bottom"/>
            <w:hideMark/>
          </w:tcPr>
          <w:p w:rsidR="005904BC" w:rsidRPr="005904BC" w:rsidRDefault="005904BC">
            <w:pPr>
              <w:pStyle w:val="NormalWeb"/>
              <w:rPr>
                <w:sz w:val="20"/>
                <w:szCs w:val="20"/>
              </w:rPr>
            </w:pPr>
            <w:r w:rsidRPr="005904BC">
              <w:rPr>
                <w:rStyle w:val="Gl"/>
                <w:sz w:val="20"/>
                <w:szCs w:val="20"/>
              </w:rPr>
              <w:t>Asgari/Azami Oran</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1</w:t>
            </w:r>
          </w:p>
        </w:tc>
        <w:tc>
          <w:tcPr>
            <w:tcW w:w="2880" w:type="dxa"/>
            <w:noWrap/>
            <w:vAlign w:val="bottom"/>
            <w:hideMark/>
          </w:tcPr>
          <w:p w:rsidR="005904BC" w:rsidRPr="005904BC" w:rsidRDefault="005904BC">
            <w:pPr>
              <w:pStyle w:val="NormalWeb"/>
              <w:rPr>
                <w:sz w:val="20"/>
                <w:szCs w:val="20"/>
              </w:rPr>
            </w:pPr>
            <w:r w:rsidRPr="005904BC">
              <w:rPr>
                <w:sz w:val="20"/>
                <w:szCs w:val="20"/>
              </w:rPr>
              <w:t>Altyapı Yatırım ve Hizmetleri ile Bu  </w:t>
            </w:r>
            <w:proofErr w:type="spellStart"/>
            <w:r w:rsidRPr="005904BC">
              <w:rPr>
                <w:sz w:val="20"/>
                <w:szCs w:val="20"/>
              </w:rPr>
              <w:t>Yatırımve</w:t>
            </w:r>
            <w:proofErr w:type="spellEnd"/>
            <w:r w:rsidRPr="005904BC">
              <w:rPr>
                <w:sz w:val="20"/>
                <w:szCs w:val="20"/>
              </w:rPr>
              <w:t xml:space="preserve"> Hizmetlere İlişkin Projelere ve Bunlara Dayalı Haklara Yapılan Yatırımlar ile Ortak Olmak veya Borçlanma Aracı Satın Almak Suretiyle Altyapı Şirketlerine ve Münhasıran Altyapı Yatırım ve Hizmetlerinden Oluşan Portföyü İşleten Diğer Ortaklıklara Yapılan Yatırım</w:t>
            </w:r>
          </w:p>
        </w:tc>
        <w:tc>
          <w:tcPr>
            <w:tcW w:w="1260" w:type="dxa"/>
            <w:noWrap/>
            <w:vAlign w:val="bottom"/>
            <w:hideMark/>
          </w:tcPr>
          <w:p w:rsidR="005904BC" w:rsidRPr="005904BC" w:rsidRDefault="005904BC">
            <w:pPr>
              <w:pStyle w:val="NormalWeb"/>
              <w:rPr>
                <w:sz w:val="20"/>
                <w:szCs w:val="20"/>
              </w:rPr>
            </w:pPr>
            <w:r w:rsidRPr="005904BC">
              <w:rPr>
                <w:sz w:val="20"/>
                <w:szCs w:val="20"/>
              </w:rPr>
              <w:t>Md.24/(a),(b)</w:t>
            </w:r>
          </w:p>
        </w:tc>
        <w:tc>
          <w:tcPr>
            <w:tcW w:w="1425" w:type="dxa"/>
            <w:noWrap/>
            <w:vAlign w:val="bottom"/>
            <w:hideMark/>
          </w:tcPr>
          <w:p w:rsidR="005904BC" w:rsidRPr="005904BC" w:rsidRDefault="005904BC">
            <w:pPr>
              <w:pStyle w:val="NormalWeb"/>
              <w:rPr>
                <w:sz w:val="20"/>
                <w:szCs w:val="20"/>
              </w:rPr>
            </w:pPr>
            <w:r w:rsidRPr="005904BC">
              <w:rPr>
                <w:sz w:val="20"/>
                <w:szCs w:val="20"/>
              </w:rPr>
              <w:t>(B1+B2+B3+A1)/D</w:t>
            </w:r>
          </w:p>
        </w:tc>
        <w:tc>
          <w:tcPr>
            <w:tcW w:w="1470" w:type="dxa"/>
            <w:noWrap/>
            <w:vAlign w:val="bottom"/>
            <w:hideMark/>
          </w:tcPr>
          <w:p w:rsidR="005904BC" w:rsidRPr="005904BC" w:rsidRDefault="005904BC">
            <w:pPr>
              <w:pStyle w:val="NormalWeb"/>
              <w:rPr>
                <w:sz w:val="20"/>
                <w:szCs w:val="20"/>
              </w:rPr>
            </w:pPr>
            <w:r w:rsidRPr="005904BC">
              <w:rPr>
                <w:sz w:val="20"/>
                <w:szCs w:val="20"/>
              </w:rPr>
              <w:t>(B1+B2+B3+A1)/D</w:t>
            </w:r>
          </w:p>
        </w:tc>
        <w:tc>
          <w:tcPr>
            <w:tcW w:w="1065" w:type="dxa"/>
            <w:noWrap/>
            <w:vAlign w:val="bottom"/>
            <w:hideMark/>
          </w:tcPr>
          <w:p w:rsidR="005904BC" w:rsidRPr="005904BC" w:rsidRDefault="005904BC">
            <w:pPr>
              <w:pStyle w:val="NormalWeb"/>
              <w:rPr>
                <w:sz w:val="20"/>
                <w:szCs w:val="20"/>
              </w:rPr>
            </w:pPr>
            <w:r w:rsidRPr="005904BC">
              <w:rPr>
                <w:sz w:val="20"/>
                <w:szCs w:val="20"/>
              </w:rPr>
              <w:t>≥ %75</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2</w:t>
            </w:r>
          </w:p>
        </w:tc>
        <w:tc>
          <w:tcPr>
            <w:tcW w:w="2880" w:type="dxa"/>
            <w:noWrap/>
            <w:vAlign w:val="bottom"/>
            <w:hideMark/>
          </w:tcPr>
          <w:p w:rsidR="005904BC" w:rsidRPr="005904BC" w:rsidRDefault="005904BC">
            <w:pPr>
              <w:pStyle w:val="NormalWeb"/>
              <w:rPr>
                <w:sz w:val="20"/>
                <w:szCs w:val="20"/>
              </w:rPr>
            </w:pPr>
            <w:r w:rsidRPr="005904BC">
              <w:rPr>
                <w:sz w:val="20"/>
                <w:szCs w:val="20"/>
              </w:rPr>
              <w:t>Para ve Sermaye Piyasası Araçları ile İştirakler</w:t>
            </w:r>
          </w:p>
        </w:tc>
        <w:tc>
          <w:tcPr>
            <w:tcW w:w="1260" w:type="dxa"/>
            <w:noWrap/>
            <w:vAlign w:val="bottom"/>
            <w:hideMark/>
          </w:tcPr>
          <w:p w:rsidR="005904BC" w:rsidRPr="005904BC" w:rsidRDefault="005904BC">
            <w:pPr>
              <w:pStyle w:val="NormalWeb"/>
              <w:rPr>
                <w:sz w:val="20"/>
                <w:szCs w:val="20"/>
              </w:rPr>
            </w:pPr>
            <w:r w:rsidRPr="005904BC">
              <w:rPr>
                <w:sz w:val="20"/>
                <w:szCs w:val="20"/>
              </w:rPr>
              <w:t>Md.24/(b)</w:t>
            </w:r>
          </w:p>
        </w:tc>
        <w:tc>
          <w:tcPr>
            <w:tcW w:w="1425" w:type="dxa"/>
            <w:noWrap/>
            <w:vAlign w:val="bottom"/>
            <w:hideMark/>
          </w:tcPr>
          <w:p w:rsidR="005904BC" w:rsidRPr="005904BC" w:rsidRDefault="005904BC">
            <w:pPr>
              <w:pStyle w:val="NormalWeb"/>
              <w:rPr>
                <w:sz w:val="20"/>
                <w:szCs w:val="20"/>
              </w:rPr>
            </w:pPr>
            <w:r w:rsidRPr="005904BC">
              <w:rPr>
                <w:sz w:val="20"/>
                <w:szCs w:val="20"/>
              </w:rPr>
              <w:t>(A+C-A1)/D</w:t>
            </w:r>
          </w:p>
        </w:tc>
        <w:tc>
          <w:tcPr>
            <w:tcW w:w="1470" w:type="dxa"/>
            <w:noWrap/>
            <w:vAlign w:val="bottom"/>
            <w:hideMark/>
          </w:tcPr>
          <w:p w:rsidR="005904BC" w:rsidRPr="005904BC" w:rsidRDefault="005904BC">
            <w:pPr>
              <w:pStyle w:val="NormalWeb"/>
              <w:rPr>
                <w:sz w:val="20"/>
                <w:szCs w:val="20"/>
              </w:rPr>
            </w:pPr>
            <w:r w:rsidRPr="005904BC">
              <w:rPr>
                <w:sz w:val="20"/>
                <w:szCs w:val="20"/>
              </w:rPr>
              <w:t>(A+C-A1)/D</w:t>
            </w:r>
          </w:p>
        </w:tc>
        <w:tc>
          <w:tcPr>
            <w:tcW w:w="1065" w:type="dxa"/>
            <w:noWrap/>
            <w:vAlign w:val="bottom"/>
            <w:hideMark/>
          </w:tcPr>
          <w:p w:rsidR="005904BC" w:rsidRPr="005904BC" w:rsidRDefault="005904BC">
            <w:pPr>
              <w:pStyle w:val="NormalWeb"/>
              <w:rPr>
                <w:sz w:val="20"/>
                <w:szCs w:val="20"/>
              </w:rPr>
            </w:pPr>
            <w:r w:rsidRPr="005904BC">
              <w:rPr>
                <w:sz w:val="20"/>
                <w:szCs w:val="20"/>
              </w:rPr>
              <w:t>≤ %25</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3</w:t>
            </w:r>
          </w:p>
        </w:tc>
        <w:tc>
          <w:tcPr>
            <w:tcW w:w="2880" w:type="dxa"/>
            <w:noWrap/>
            <w:vAlign w:val="bottom"/>
            <w:hideMark/>
          </w:tcPr>
          <w:p w:rsidR="005904BC" w:rsidRPr="005904BC" w:rsidRDefault="005904BC">
            <w:pPr>
              <w:pStyle w:val="NormalWeb"/>
              <w:rPr>
                <w:sz w:val="20"/>
                <w:szCs w:val="20"/>
              </w:rPr>
            </w:pPr>
            <w:r w:rsidRPr="005904BC">
              <w:rPr>
                <w:sz w:val="20"/>
                <w:szCs w:val="20"/>
              </w:rPr>
              <w:t>İşletmeci Şirkete İştirak</w:t>
            </w:r>
          </w:p>
        </w:tc>
        <w:tc>
          <w:tcPr>
            <w:tcW w:w="1260" w:type="dxa"/>
            <w:noWrap/>
            <w:vAlign w:val="bottom"/>
            <w:hideMark/>
          </w:tcPr>
          <w:p w:rsidR="005904BC" w:rsidRPr="005904BC" w:rsidRDefault="005904BC">
            <w:pPr>
              <w:pStyle w:val="NormalWeb"/>
              <w:rPr>
                <w:sz w:val="20"/>
                <w:szCs w:val="20"/>
              </w:rPr>
            </w:pPr>
            <w:r w:rsidRPr="005904BC">
              <w:rPr>
                <w:sz w:val="20"/>
                <w:szCs w:val="20"/>
              </w:rPr>
              <w:t>Md.28/2(a)</w:t>
            </w:r>
          </w:p>
        </w:tc>
        <w:tc>
          <w:tcPr>
            <w:tcW w:w="1425" w:type="dxa"/>
            <w:noWrap/>
            <w:vAlign w:val="bottom"/>
            <w:hideMark/>
          </w:tcPr>
          <w:p w:rsidR="005904BC" w:rsidRPr="005904BC" w:rsidRDefault="005904BC">
            <w:pPr>
              <w:pStyle w:val="NormalWeb"/>
              <w:rPr>
                <w:sz w:val="20"/>
                <w:szCs w:val="20"/>
              </w:rPr>
            </w:pPr>
            <w:r w:rsidRPr="005904BC">
              <w:rPr>
                <w:sz w:val="20"/>
                <w:szCs w:val="20"/>
              </w:rPr>
              <w:t>C1/D</w:t>
            </w:r>
          </w:p>
        </w:tc>
        <w:tc>
          <w:tcPr>
            <w:tcW w:w="1470" w:type="dxa"/>
            <w:noWrap/>
            <w:vAlign w:val="bottom"/>
            <w:hideMark/>
          </w:tcPr>
          <w:p w:rsidR="005904BC" w:rsidRPr="005904BC" w:rsidRDefault="005904BC">
            <w:pPr>
              <w:pStyle w:val="NormalWeb"/>
              <w:rPr>
                <w:sz w:val="20"/>
                <w:szCs w:val="20"/>
              </w:rPr>
            </w:pPr>
            <w:r w:rsidRPr="005904BC">
              <w:rPr>
                <w:sz w:val="20"/>
                <w:szCs w:val="20"/>
              </w:rPr>
              <w:t>C1/D</w:t>
            </w:r>
          </w:p>
        </w:tc>
        <w:tc>
          <w:tcPr>
            <w:tcW w:w="106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4</w:t>
            </w:r>
          </w:p>
        </w:tc>
        <w:tc>
          <w:tcPr>
            <w:tcW w:w="2880" w:type="dxa"/>
            <w:vAlign w:val="bottom"/>
            <w:hideMark/>
          </w:tcPr>
          <w:p w:rsidR="005904BC" w:rsidRPr="005904BC" w:rsidRDefault="005904BC">
            <w:pPr>
              <w:pStyle w:val="NormalWeb"/>
              <w:rPr>
                <w:sz w:val="20"/>
                <w:szCs w:val="20"/>
              </w:rPr>
            </w:pPr>
            <w:r w:rsidRPr="005904BC">
              <w:rPr>
                <w:sz w:val="20"/>
                <w:szCs w:val="20"/>
              </w:rPr>
              <w:t>Borçlanma Sınırı</w:t>
            </w:r>
          </w:p>
        </w:tc>
        <w:tc>
          <w:tcPr>
            <w:tcW w:w="1260" w:type="dxa"/>
            <w:noWrap/>
            <w:vAlign w:val="center"/>
            <w:hideMark/>
          </w:tcPr>
          <w:p w:rsidR="005904BC" w:rsidRPr="005904BC" w:rsidRDefault="005904BC">
            <w:pPr>
              <w:pStyle w:val="NormalWeb"/>
              <w:rPr>
                <w:sz w:val="20"/>
                <w:szCs w:val="20"/>
              </w:rPr>
            </w:pPr>
            <w:r w:rsidRPr="005904BC">
              <w:rPr>
                <w:sz w:val="20"/>
                <w:szCs w:val="20"/>
              </w:rPr>
              <w:t>Md.31</w:t>
            </w:r>
          </w:p>
        </w:tc>
        <w:tc>
          <w:tcPr>
            <w:tcW w:w="1425" w:type="dxa"/>
            <w:noWrap/>
            <w:vAlign w:val="center"/>
            <w:hideMark/>
          </w:tcPr>
          <w:p w:rsidR="005904BC" w:rsidRPr="005904BC" w:rsidRDefault="005904BC">
            <w:pPr>
              <w:pStyle w:val="NormalWeb"/>
              <w:rPr>
                <w:sz w:val="20"/>
                <w:szCs w:val="20"/>
              </w:rPr>
            </w:pPr>
            <w:r w:rsidRPr="005904BC">
              <w:rPr>
                <w:sz w:val="20"/>
                <w:szCs w:val="20"/>
              </w:rPr>
              <w:t>(E+F+G+H+J)/İ</w:t>
            </w:r>
          </w:p>
        </w:tc>
        <w:tc>
          <w:tcPr>
            <w:tcW w:w="1470" w:type="dxa"/>
            <w:noWrap/>
            <w:vAlign w:val="center"/>
            <w:hideMark/>
          </w:tcPr>
          <w:p w:rsidR="005904BC" w:rsidRPr="005904BC" w:rsidRDefault="005904BC">
            <w:pPr>
              <w:pStyle w:val="NormalWeb"/>
              <w:rPr>
                <w:sz w:val="20"/>
                <w:szCs w:val="20"/>
              </w:rPr>
            </w:pPr>
            <w:r w:rsidRPr="005904BC">
              <w:rPr>
                <w:sz w:val="20"/>
                <w:szCs w:val="20"/>
              </w:rPr>
              <w:t>(E+F+G+H+J)/İ</w:t>
            </w:r>
          </w:p>
        </w:tc>
        <w:tc>
          <w:tcPr>
            <w:tcW w:w="1065" w:type="dxa"/>
            <w:noWrap/>
            <w:vAlign w:val="center"/>
            <w:hideMark/>
          </w:tcPr>
          <w:p w:rsidR="005904BC" w:rsidRPr="005904BC" w:rsidRDefault="005904BC">
            <w:pPr>
              <w:pStyle w:val="NormalWeb"/>
              <w:rPr>
                <w:sz w:val="20"/>
                <w:szCs w:val="20"/>
              </w:rPr>
            </w:pPr>
            <w:r w:rsidRPr="005904BC">
              <w:rPr>
                <w:sz w:val="20"/>
                <w:szCs w:val="20"/>
              </w:rPr>
              <w:t>≤ %500</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5</w:t>
            </w:r>
          </w:p>
        </w:tc>
        <w:tc>
          <w:tcPr>
            <w:tcW w:w="2880" w:type="dxa"/>
            <w:noWrap/>
            <w:vAlign w:val="bottom"/>
            <w:hideMark/>
          </w:tcPr>
          <w:p w:rsidR="005904BC" w:rsidRPr="005904BC" w:rsidRDefault="005904BC">
            <w:pPr>
              <w:pStyle w:val="NormalWeb"/>
              <w:rPr>
                <w:sz w:val="20"/>
                <w:szCs w:val="20"/>
              </w:rPr>
            </w:pPr>
            <w:r w:rsidRPr="005904BC">
              <w:rPr>
                <w:sz w:val="20"/>
                <w:szCs w:val="20"/>
              </w:rPr>
              <w:t>Döviz Cinsinden Vadeli-Vadesiz Mevduat / Özel Cari-Katılma Hesabı ve TL Cinsinden Vadeli Mevduat / Katılma Hesabı</w:t>
            </w:r>
          </w:p>
        </w:tc>
        <w:tc>
          <w:tcPr>
            <w:tcW w:w="1260" w:type="dxa"/>
            <w:noWrap/>
            <w:vAlign w:val="bottom"/>
            <w:hideMark/>
          </w:tcPr>
          <w:p w:rsidR="005904BC" w:rsidRPr="005904BC" w:rsidRDefault="005904BC">
            <w:pPr>
              <w:pStyle w:val="NormalWeb"/>
              <w:rPr>
                <w:sz w:val="20"/>
                <w:szCs w:val="20"/>
              </w:rPr>
            </w:pPr>
            <w:r w:rsidRPr="005904BC">
              <w:rPr>
                <w:sz w:val="20"/>
                <w:szCs w:val="20"/>
              </w:rPr>
              <w:t>Md.24/(b)</w:t>
            </w:r>
          </w:p>
        </w:tc>
        <w:tc>
          <w:tcPr>
            <w:tcW w:w="1425" w:type="dxa"/>
            <w:noWrap/>
            <w:vAlign w:val="bottom"/>
            <w:hideMark/>
          </w:tcPr>
          <w:p w:rsidR="005904BC" w:rsidRPr="005904BC" w:rsidRDefault="005904BC">
            <w:pPr>
              <w:pStyle w:val="NormalWeb"/>
              <w:rPr>
                <w:sz w:val="20"/>
                <w:szCs w:val="20"/>
              </w:rPr>
            </w:pPr>
            <w:r w:rsidRPr="005904BC">
              <w:rPr>
                <w:sz w:val="20"/>
                <w:szCs w:val="20"/>
              </w:rPr>
              <w:t>(A2-A1)/D</w:t>
            </w:r>
          </w:p>
        </w:tc>
        <w:tc>
          <w:tcPr>
            <w:tcW w:w="1470" w:type="dxa"/>
            <w:noWrap/>
            <w:vAlign w:val="bottom"/>
            <w:hideMark/>
          </w:tcPr>
          <w:p w:rsidR="005904BC" w:rsidRPr="005904BC" w:rsidRDefault="005904BC">
            <w:pPr>
              <w:pStyle w:val="NormalWeb"/>
              <w:rPr>
                <w:sz w:val="20"/>
                <w:szCs w:val="20"/>
              </w:rPr>
            </w:pPr>
            <w:r w:rsidRPr="005904BC">
              <w:rPr>
                <w:sz w:val="20"/>
                <w:szCs w:val="20"/>
              </w:rPr>
              <w:t>(A2-A1)/D</w:t>
            </w:r>
          </w:p>
        </w:tc>
        <w:tc>
          <w:tcPr>
            <w:tcW w:w="106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6</w:t>
            </w:r>
          </w:p>
        </w:tc>
        <w:tc>
          <w:tcPr>
            <w:tcW w:w="2880" w:type="dxa"/>
            <w:noWrap/>
            <w:vAlign w:val="bottom"/>
            <w:hideMark/>
          </w:tcPr>
          <w:p w:rsidR="005904BC" w:rsidRPr="005904BC" w:rsidRDefault="005904BC">
            <w:pPr>
              <w:pStyle w:val="NormalWeb"/>
              <w:rPr>
                <w:sz w:val="20"/>
                <w:szCs w:val="20"/>
              </w:rPr>
            </w:pPr>
            <w:r w:rsidRPr="005904BC">
              <w:rPr>
                <w:sz w:val="20"/>
                <w:szCs w:val="20"/>
              </w:rPr>
              <w:t>Üzerinde Proje Geliştirilecek Mülkiyeti Ortaklığa Ait Olmayan İpotekli Arsaların İpotek Bedelleri</w:t>
            </w:r>
          </w:p>
        </w:tc>
        <w:tc>
          <w:tcPr>
            <w:tcW w:w="1260" w:type="dxa"/>
            <w:noWrap/>
            <w:vAlign w:val="bottom"/>
            <w:hideMark/>
          </w:tcPr>
          <w:p w:rsidR="005904BC" w:rsidRPr="005904BC" w:rsidRDefault="005904BC">
            <w:pPr>
              <w:pStyle w:val="NormalWeb"/>
              <w:rPr>
                <w:sz w:val="20"/>
                <w:szCs w:val="20"/>
              </w:rPr>
            </w:pPr>
            <w:r w:rsidRPr="005904BC">
              <w:rPr>
                <w:sz w:val="20"/>
                <w:szCs w:val="20"/>
              </w:rPr>
              <w:t>Md.22/(e)</w:t>
            </w:r>
          </w:p>
        </w:tc>
        <w:tc>
          <w:tcPr>
            <w:tcW w:w="1425" w:type="dxa"/>
            <w:noWrap/>
            <w:vAlign w:val="bottom"/>
            <w:hideMark/>
          </w:tcPr>
          <w:p w:rsidR="005904BC" w:rsidRPr="005904BC" w:rsidRDefault="005904BC">
            <w:pPr>
              <w:pStyle w:val="NormalWeb"/>
              <w:rPr>
                <w:sz w:val="20"/>
                <w:szCs w:val="20"/>
              </w:rPr>
            </w:pPr>
            <w:r w:rsidRPr="005904BC">
              <w:rPr>
                <w:sz w:val="20"/>
                <w:szCs w:val="20"/>
              </w:rPr>
              <w:t>(K/D)</w:t>
            </w:r>
          </w:p>
        </w:tc>
        <w:tc>
          <w:tcPr>
            <w:tcW w:w="1470" w:type="dxa"/>
            <w:noWrap/>
            <w:vAlign w:val="bottom"/>
            <w:hideMark/>
          </w:tcPr>
          <w:p w:rsidR="005904BC" w:rsidRPr="005904BC" w:rsidRDefault="005904BC">
            <w:pPr>
              <w:pStyle w:val="NormalWeb"/>
              <w:rPr>
                <w:sz w:val="20"/>
                <w:szCs w:val="20"/>
              </w:rPr>
            </w:pPr>
            <w:r w:rsidRPr="005904BC">
              <w:rPr>
                <w:sz w:val="20"/>
                <w:szCs w:val="20"/>
              </w:rPr>
              <w:t>(K/D)</w:t>
            </w:r>
          </w:p>
        </w:tc>
        <w:tc>
          <w:tcPr>
            <w:tcW w:w="1065" w:type="dxa"/>
            <w:noWrap/>
            <w:vAlign w:val="bottom"/>
            <w:hideMark/>
          </w:tcPr>
          <w:p w:rsidR="005904BC" w:rsidRPr="005904BC" w:rsidRDefault="005904BC">
            <w:pPr>
              <w:pStyle w:val="NormalWeb"/>
              <w:rPr>
                <w:sz w:val="20"/>
                <w:szCs w:val="20"/>
              </w:rPr>
            </w:pPr>
            <w:r w:rsidRPr="005904BC">
              <w:rPr>
                <w:sz w:val="20"/>
                <w:szCs w:val="20"/>
              </w:rPr>
              <w:t>≤ %10</w:t>
            </w:r>
          </w:p>
        </w:tc>
      </w:tr>
      <w:tr w:rsidR="005904BC" w:rsidRPr="005904BC">
        <w:trPr>
          <w:tblCellSpacing w:w="0" w:type="dxa"/>
          <w:jc w:val="center"/>
        </w:trPr>
        <w:tc>
          <w:tcPr>
            <w:tcW w:w="360" w:type="dxa"/>
            <w:noWrap/>
            <w:vAlign w:val="center"/>
            <w:hideMark/>
          </w:tcPr>
          <w:p w:rsidR="005904BC" w:rsidRPr="005904BC" w:rsidRDefault="005904BC">
            <w:pPr>
              <w:pStyle w:val="NormalWeb"/>
              <w:rPr>
                <w:sz w:val="20"/>
                <w:szCs w:val="20"/>
              </w:rPr>
            </w:pPr>
            <w:r w:rsidRPr="005904BC">
              <w:rPr>
                <w:sz w:val="20"/>
                <w:szCs w:val="20"/>
              </w:rPr>
              <w:t>7</w:t>
            </w:r>
          </w:p>
        </w:tc>
        <w:tc>
          <w:tcPr>
            <w:tcW w:w="2880" w:type="dxa"/>
            <w:noWrap/>
            <w:vAlign w:val="bottom"/>
            <w:hideMark/>
          </w:tcPr>
          <w:p w:rsidR="005904BC" w:rsidRPr="005904BC" w:rsidRDefault="005904BC">
            <w:pPr>
              <w:pStyle w:val="NormalWeb"/>
              <w:rPr>
                <w:sz w:val="20"/>
                <w:szCs w:val="20"/>
              </w:rPr>
            </w:pPr>
            <w:r w:rsidRPr="005904BC">
              <w:rPr>
                <w:sz w:val="20"/>
                <w:szCs w:val="20"/>
              </w:rPr>
              <w:t>Tek Bir Şirketteki Para ve Sermaye Piyasası Araçları Yatırımlarının Toplamı</w:t>
            </w:r>
          </w:p>
        </w:tc>
        <w:tc>
          <w:tcPr>
            <w:tcW w:w="1260" w:type="dxa"/>
            <w:noWrap/>
            <w:vAlign w:val="bottom"/>
            <w:hideMark/>
          </w:tcPr>
          <w:p w:rsidR="005904BC" w:rsidRPr="005904BC" w:rsidRDefault="005904BC">
            <w:pPr>
              <w:pStyle w:val="NormalWeb"/>
              <w:rPr>
                <w:sz w:val="20"/>
                <w:szCs w:val="20"/>
              </w:rPr>
            </w:pPr>
            <w:r w:rsidRPr="005904BC">
              <w:rPr>
                <w:sz w:val="20"/>
                <w:szCs w:val="20"/>
              </w:rPr>
              <w:t>Md.22/(l)</w:t>
            </w:r>
          </w:p>
        </w:tc>
        <w:tc>
          <w:tcPr>
            <w:tcW w:w="1425" w:type="dxa"/>
            <w:noWrap/>
            <w:vAlign w:val="bottom"/>
            <w:hideMark/>
          </w:tcPr>
          <w:p w:rsidR="005904BC" w:rsidRPr="005904BC" w:rsidRDefault="005904BC">
            <w:pPr>
              <w:pStyle w:val="NormalWeb"/>
              <w:rPr>
                <w:sz w:val="20"/>
                <w:szCs w:val="20"/>
              </w:rPr>
            </w:pPr>
            <w:r w:rsidRPr="005904BC">
              <w:rPr>
                <w:sz w:val="20"/>
                <w:szCs w:val="20"/>
              </w:rPr>
              <w:t>(L/D)</w:t>
            </w:r>
          </w:p>
        </w:tc>
        <w:tc>
          <w:tcPr>
            <w:tcW w:w="1470" w:type="dxa"/>
            <w:noWrap/>
            <w:vAlign w:val="bottom"/>
            <w:hideMark/>
          </w:tcPr>
          <w:p w:rsidR="005904BC" w:rsidRPr="005904BC" w:rsidRDefault="005904BC">
            <w:pPr>
              <w:pStyle w:val="NormalWeb"/>
              <w:rPr>
                <w:sz w:val="20"/>
                <w:szCs w:val="20"/>
              </w:rPr>
            </w:pPr>
            <w:r w:rsidRPr="005904BC">
              <w:rPr>
                <w:sz w:val="20"/>
                <w:szCs w:val="20"/>
              </w:rPr>
              <w:t>(L/D)</w:t>
            </w:r>
          </w:p>
        </w:tc>
        <w:tc>
          <w:tcPr>
            <w:tcW w:w="1065" w:type="dxa"/>
            <w:noWrap/>
            <w:vAlign w:val="bottom"/>
            <w:hideMark/>
          </w:tcPr>
          <w:p w:rsidR="005904BC" w:rsidRPr="005904BC" w:rsidRDefault="005904BC">
            <w:pPr>
              <w:pStyle w:val="NormalWeb"/>
              <w:rPr>
                <w:sz w:val="20"/>
                <w:szCs w:val="20"/>
              </w:rPr>
            </w:pPr>
            <w:r w:rsidRPr="005904BC">
              <w:rPr>
                <w:sz w:val="20"/>
                <w:szCs w:val="20"/>
              </w:rPr>
              <w:t>≤ %10</w:t>
            </w:r>
          </w:p>
        </w:tc>
      </w:tr>
    </w:tbl>
    <w:p w:rsidR="005904BC" w:rsidRPr="005904BC" w:rsidRDefault="005904BC" w:rsidP="00A704E3">
      <w:pPr>
        <w:spacing w:after="0" w:line="280" w:lineRule="atLeast"/>
        <w:jc w:val="both"/>
        <w:rPr>
          <w:rFonts w:ascii="Times New Roman" w:hAnsi="Times New Roman" w:cs="Times New Roman"/>
          <w:b/>
          <w:sz w:val="20"/>
          <w:szCs w:val="20"/>
          <w:u w:val="single"/>
        </w:rPr>
      </w:pPr>
    </w:p>
    <w:p w:rsidR="005904BC" w:rsidRPr="005904BC" w:rsidRDefault="005904BC">
      <w:pPr>
        <w:spacing w:after="0" w:line="280" w:lineRule="atLeast"/>
        <w:jc w:val="both"/>
        <w:rPr>
          <w:rFonts w:ascii="Times New Roman" w:hAnsi="Times New Roman" w:cs="Times New Roman"/>
          <w:b/>
          <w:sz w:val="20"/>
          <w:szCs w:val="20"/>
          <w:u w:val="single"/>
        </w:rPr>
      </w:pPr>
    </w:p>
    <w:sectPr w:rsidR="005904BC" w:rsidRPr="005904B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E07" w:rsidRDefault="009D1E07" w:rsidP="00CE6B7C">
      <w:pPr>
        <w:spacing w:after="0" w:line="240" w:lineRule="auto"/>
      </w:pPr>
      <w:r>
        <w:separator/>
      </w:r>
    </w:p>
  </w:endnote>
  <w:endnote w:type="continuationSeparator" w:id="0">
    <w:p w:rsidR="009D1E07" w:rsidRDefault="009D1E0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74978">
        <w:pPr>
          <w:pStyle w:val="Altbilgi"/>
          <w:jc w:val="center"/>
        </w:pPr>
        <w:fldSimple w:instr=" PAGE   \* MERGEFORMAT ">
          <w:r w:rsidR="005904B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E07" w:rsidRDefault="009D1E07" w:rsidP="00CE6B7C">
      <w:pPr>
        <w:spacing w:after="0" w:line="240" w:lineRule="auto"/>
      </w:pPr>
      <w:r>
        <w:separator/>
      </w:r>
    </w:p>
  </w:footnote>
  <w:footnote w:type="continuationSeparator" w:id="0">
    <w:p w:rsidR="009D1E07" w:rsidRDefault="009D1E0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978"/>
    <w:rsid w:val="00574A43"/>
    <w:rsid w:val="0058349E"/>
    <w:rsid w:val="00585C69"/>
    <w:rsid w:val="005904BC"/>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1E07"/>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12E"/>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5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12342</Words>
  <Characters>70353</Characters>
  <Application>Microsoft Office Word</Application>
  <DocSecurity>0</DocSecurity>
  <Lines>586</Lines>
  <Paragraphs>165</Paragraphs>
  <ScaleCrop>false</ScaleCrop>
  <Company>TURMOB</Company>
  <LinksUpToDate>false</LinksUpToDate>
  <CharactersWithSpaces>82530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591</cp:revision>
  <cp:lastPrinted>2013-12-13T06:43:00Z</cp:lastPrinted>
  <dcterms:created xsi:type="dcterms:W3CDTF">2013-06-03T05:31:00Z</dcterms:created>
  <dcterms:modified xsi:type="dcterms:W3CDTF">2014-01-23T06:41:00Z</dcterms:modified>
</cp:coreProperties>
</file>