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E4B0E" w:rsidRDefault="007F3BA0" w:rsidP="003A252D">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11</w:t>
      </w:r>
      <w:r w:rsidR="00521F3B" w:rsidRPr="001E4B0E">
        <w:rPr>
          <w:rFonts w:ascii="Times New Roman" w:hAnsi="Times New Roman" w:cs="Times New Roman"/>
          <w:b/>
          <w:sz w:val="20"/>
          <w:szCs w:val="20"/>
          <w:u w:val="single"/>
        </w:rPr>
        <w:t xml:space="preserve"> Şubat</w:t>
      </w:r>
      <w:r w:rsidR="00112323" w:rsidRPr="001E4B0E">
        <w:rPr>
          <w:rFonts w:ascii="Times New Roman" w:hAnsi="Times New Roman" w:cs="Times New Roman"/>
          <w:b/>
          <w:sz w:val="20"/>
          <w:szCs w:val="20"/>
          <w:u w:val="single"/>
        </w:rPr>
        <w:t xml:space="preserve"> </w:t>
      </w:r>
      <w:r w:rsidR="00802E28" w:rsidRPr="001E4B0E">
        <w:rPr>
          <w:rFonts w:ascii="Times New Roman" w:hAnsi="Times New Roman" w:cs="Times New Roman"/>
          <w:b/>
          <w:sz w:val="20"/>
          <w:szCs w:val="20"/>
          <w:u w:val="single"/>
        </w:rPr>
        <w:t>201</w:t>
      </w:r>
      <w:r w:rsidR="00112323" w:rsidRPr="001E4B0E">
        <w:rPr>
          <w:rFonts w:ascii="Times New Roman" w:hAnsi="Times New Roman" w:cs="Times New Roman"/>
          <w:b/>
          <w:sz w:val="20"/>
          <w:szCs w:val="20"/>
          <w:u w:val="single"/>
        </w:rPr>
        <w:t>4</w:t>
      </w:r>
      <w:r w:rsidR="00802E28" w:rsidRPr="001E4B0E">
        <w:rPr>
          <w:rFonts w:ascii="Times New Roman" w:hAnsi="Times New Roman" w:cs="Times New Roman"/>
          <w:b/>
          <w:sz w:val="20"/>
          <w:szCs w:val="20"/>
          <w:u w:val="single"/>
        </w:rPr>
        <w:t>,</w:t>
      </w:r>
      <w:r w:rsidR="000370C9" w:rsidRPr="001E4B0E">
        <w:rPr>
          <w:rFonts w:ascii="Times New Roman" w:hAnsi="Times New Roman" w:cs="Times New Roman"/>
          <w:b/>
          <w:sz w:val="20"/>
          <w:szCs w:val="20"/>
          <w:u w:val="single"/>
        </w:rPr>
        <w:t xml:space="preserve"> </w:t>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2950D7" w:rsidRPr="001E4B0E">
        <w:rPr>
          <w:rFonts w:ascii="Times New Roman" w:hAnsi="Times New Roman" w:cs="Times New Roman"/>
          <w:b/>
          <w:sz w:val="20"/>
          <w:szCs w:val="20"/>
          <w:u w:val="single"/>
        </w:rPr>
        <w:tab/>
      </w:r>
      <w:r w:rsidR="002A1073" w:rsidRPr="001E4B0E">
        <w:rPr>
          <w:rFonts w:ascii="Times New Roman" w:hAnsi="Times New Roman" w:cs="Times New Roman"/>
          <w:b/>
          <w:sz w:val="20"/>
          <w:szCs w:val="20"/>
          <w:u w:val="single"/>
        </w:rPr>
        <w:tab/>
      </w:r>
      <w:r w:rsidR="00536107">
        <w:rPr>
          <w:rFonts w:ascii="Times New Roman" w:hAnsi="Times New Roman" w:cs="Times New Roman"/>
          <w:b/>
          <w:sz w:val="20"/>
          <w:szCs w:val="20"/>
          <w:u w:val="single"/>
        </w:rPr>
        <w:t xml:space="preserve"> </w:t>
      </w:r>
      <w:r w:rsidR="00536107">
        <w:rPr>
          <w:rFonts w:ascii="Times New Roman" w:hAnsi="Times New Roman" w:cs="Times New Roman"/>
          <w:b/>
          <w:sz w:val="20"/>
          <w:szCs w:val="20"/>
          <w:u w:val="single"/>
        </w:rPr>
        <w:tab/>
      </w:r>
      <w:r w:rsidR="00536107">
        <w:rPr>
          <w:rFonts w:ascii="Times New Roman" w:hAnsi="Times New Roman" w:cs="Times New Roman"/>
          <w:b/>
          <w:sz w:val="20"/>
          <w:szCs w:val="20"/>
          <w:u w:val="single"/>
        </w:rPr>
        <w:tab/>
        <w:t>Sayı : 28910</w:t>
      </w:r>
    </w:p>
    <w:p w:rsidR="00BF212E" w:rsidRDefault="00BF212E" w:rsidP="003A252D">
      <w:pPr>
        <w:spacing w:after="0" w:line="280" w:lineRule="atLeast"/>
        <w:jc w:val="both"/>
        <w:rPr>
          <w:rFonts w:ascii="Times New Roman" w:hAnsi="Times New Roman" w:cs="Times New Roman"/>
          <w:b/>
          <w:sz w:val="20"/>
          <w:szCs w:val="20"/>
          <w:u w:val="single"/>
        </w:rPr>
      </w:pPr>
    </w:p>
    <w:p w:rsidR="00536107" w:rsidRDefault="00536107" w:rsidP="00536107">
      <w:pPr>
        <w:pStyle w:val="1-Baslk"/>
        <w:spacing w:line="240" w:lineRule="exact"/>
        <w:ind w:firstLine="566"/>
        <w:rPr>
          <w:rFonts w:hAnsi="Times New Roman"/>
          <w:sz w:val="18"/>
          <w:szCs w:val="18"/>
        </w:rPr>
      </w:pPr>
      <w:r>
        <w:rPr>
          <w:rFonts w:hAnsi="Times New Roman"/>
          <w:sz w:val="18"/>
          <w:szCs w:val="18"/>
        </w:rPr>
        <w:t>Kamu Gözetimi, Muhasebe ve Denetim Standartları Kurumundan:</w:t>
      </w:r>
    </w:p>
    <w:p w:rsidR="00536107" w:rsidRDefault="00536107" w:rsidP="00536107">
      <w:pPr>
        <w:pStyle w:val="1-Baslk"/>
        <w:spacing w:line="240" w:lineRule="exact"/>
        <w:ind w:firstLine="566"/>
        <w:rPr>
          <w:rFonts w:hAnsi="Times New Roman"/>
          <w:sz w:val="18"/>
          <w:szCs w:val="18"/>
        </w:rPr>
      </w:pPr>
    </w:p>
    <w:p w:rsidR="00536107" w:rsidRDefault="00536107" w:rsidP="00536107">
      <w:pPr>
        <w:pStyle w:val="2-OrtaBaslk"/>
        <w:spacing w:line="240" w:lineRule="exact"/>
        <w:rPr>
          <w:rFonts w:hAnsi="Times New Roman"/>
          <w:sz w:val="18"/>
          <w:szCs w:val="18"/>
        </w:rPr>
      </w:pPr>
      <w:r>
        <w:rPr>
          <w:rFonts w:hAnsi="Times New Roman"/>
          <w:sz w:val="18"/>
          <w:szCs w:val="18"/>
        </w:rPr>
        <w:t>FİNANSAL ARAÇLAR: MUHASEBELEŞTİRME VE ÖLÇMEYE İLİŞKİN</w:t>
      </w:r>
    </w:p>
    <w:p w:rsidR="00536107" w:rsidRDefault="00536107" w:rsidP="00536107">
      <w:pPr>
        <w:pStyle w:val="2-OrtaBaslk"/>
        <w:spacing w:line="240" w:lineRule="exact"/>
        <w:rPr>
          <w:rFonts w:hAnsi="Times New Roman"/>
          <w:sz w:val="18"/>
          <w:szCs w:val="18"/>
        </w:rPr>
      </w:pPr>
      <w:r>
        <w:rPr>
          <w:rFonts w:hAnsi="Times New Roman"/>
          <w:sz w:val="18"/>
          <w:szCs w:val="18"/>
        </w:rPr>
        <w:t>TÜRKİYE MUHASEBE STANDARDI (TMS 39) HAKKINDA TEBLİĞ</w:t>
      </w:r>
    </w:p>
    <w:p w:rsidR="00536107" w:rsidRDefault="00536107" w:rsidP="00536107">
      <w:pPr>
        <w:pStyle w:val="2-OrtaBaslk"/>
        <w:spacing w:line="240" w:lineRule="exact"/>
        <w:rPr>
          <w:rFonts w:hAnsi="Times New Roman"/>
          <w:sz w:val="18"/>
          <w:szCs w:val="18"/>
        </w:rPr>
      </w:pPr>
      <w:r>
        <w:rPr>
          <w:rFonts w:hAnsi="Times New Roman"/>
          <w:sz w:val="18"/>
          <w:szCs w:val="18"/>
        </w:rPr>
        <w:t>SIRA NO: 41’DE DEĞİŞİKLİK YAPILMASINA DAİR TEBLİĞ</w:t>
      </w:r>
    </w:p>
    <w:p w:rsidR="00536107" w:rsidRDefault="00536107" w:rsidP="00536107">
      <w:pPr>
        <w:pStyle w:val="2-OrtaBaslk"/>
        <w:spacing w:line="240" w:lineRule="exact"/>
        <w:rPr>
          <w:rFonts w:hAnsi="Times New Roman"/>
          <w:sz w:val="18"/>
          <w:szCs w:val="18"/>
        </w:rPr>
      </w:pPr>
      <w:r>
        <w:rPr>
          <w:rFonts w:hAnsi="Times New Roman"/>
          <w:sz w:val="18"/>
          <w:szCs w:val="18"/>
        </w:rPr>
        <w:t>SIRA NO: 16</w:t>
      </w:r>
    </w:p>
    <w:p w:rsidR="00536107" w:rsidRDefault="00536107" w:rsidP="00536107">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3/11/2006</w:t>
      </w:r>
      <w:proofErr w:type="gramEnd"/>
      <w:r>
        <w:rPr>
          <w:rFonts w:hAnsi="Times New Roman"/>
          <w:sz w:val="18"/>
          <w:szCs w:val="18"/>
        </w:rPr>
        <w:t xml:space="preserve"> tarihli ve 26335 sayılı Resmî Gazete’de yayımlanan Finansal Araçlar: Muhasebeleştirme ve Ölçmeye İlişkin Türkiye Muhasebe Standardı (TMS 39) Hakkında Tebliğ Sıra No: 41’in ekinde yer alan “TMS 39 Finansal Araçlar: Muhasebeleştirme ve Ölçme” Standardının; </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(a) 91 inci paragrafının (a) bendi aşağıdaki şekilde değiştirilmiştir.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“(a) Finansal riskten korunma aracının vadesinin dolması, satılması, sonlandırılması veya kullanılması. Bu bakımdan, finansal riskten korunma aracının yenilenmesi veya bir başka finansal riskten korunma aracına aktarılması, bu işlemler işletmenin belgelenmiş riskten korunma stratejisinin bir parçası olduğu durumlarda, vadenin dolması ya da sonlandırma olarak kabul edilmez. Ayrıca, bu amaçla aşağıdaki durumlarda, finansal riskten korunma aracının vadesinin dolması ya da sonlandırılması söz konusu değildir;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(i) Yürürlükteki mevzuat hükümleri veya mevzuatın yenilenmesi sonucunda, finansal riskten korunma aracının taraflarının, bir veya daha fazla takas kuruluşunun her bir tarafın yeni karşı tarafı haline gelmesi için başlangıçtaki karşı taraflarını yenilemek konusunda anlaşmaya varmaları. Bu amaçla, takas kuruluşu, merkezi bir kuruluş (bazen bir “takas organı” ya da “takas kurumu” olarak adlandırılır) ya da örneğin merkezi bir kuruluş tarafından takasın gerçekleştirilmesi amacıyla karşı taraf olarak hareket eden, takas kuruluşunun bir takas üyesi ya da takas kuruluşunun takas üyesinin müşterisi olan işletme veya işletmelerdir. Ancak, finansal riskten korunma aracının taraflarının, başlangıçtaki karşı taraflarını farklı karşı taraflarla yenilemeleri durumunda, söz konusu tarafların yalnızca aynı merkezi kuruluş ile takas gerçekleştirmesi durumunda bu Paragraf uygulanır.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Finansal riskten korunma aracına ilişkin diğer değişikliklerin bulunması durumunda, bu değişikliklerin karşı tarafın bu şekilde yenilenmesini gerçekleştirmek için gerekli olanlarla sınırlı olması. Bu tür değişiklikler, finansal riskten korunma aracının başlangıçta takas kuruluşuyla takas edilmiş olması halinde öngörülecek şartlar ile tutarlı olanlarla sınırlıdır. Bu değişiklikler teminat hükümlerini, alacak ve borç bakiyelerini netleştirme haklarını ve kesilen masrafları içerir.”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(b) 101 inci paragrafının (a) bendi aşağıdaki şekilde değiştirilmiştir.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 xml:space="preserve">“(a) Finansal riskten korunma aracının vadesinin dolması, satılması, sonlandırılması veya kullanılması. Bu durumda, finansal riskten korunma işleminin etkin olduğu dönemden itibaren (bakınız: Paragraf 95(a)) diğer kapsamlı gelir içerisinde muhasebeleştirilmesine devam edilen finansal riskten korunma aracına ait toplam kazanç ya da kayıp, ilgili tahmini işlem gerçekleşene kadar </w:t>
      </w:r>
      <w:proofErr w:type="spellStart"/>
      <w:r>
        <w:rPr>
          <w:rFonts w:hAnsi="Times New Roman"/>
          <w:sz w:val="18"/>
          <w:szCs w:val="18"/>
        </w:rPr>
        <w:t>özkaynaklarda</w:t>
      </w:r>
      <w:proofErr w:type="spellEnd"/>
      <w:r>
        <w:rPr>
          <w:rFonts w:hAnsi="Times New Roman"/>
          <w:sz w:val="18"/>
          <w:szCs w:val="18"/>
        </w:rPr>
        <w:t xml:space="preserve"> ayrı bir kalem olarak kalmaya devam eder. İşlemin gerçekleşmesi durumunda 97, 98 veya 100 üncü Paragraflar uygulanır. Bu alt Paragrafın amaçları açısından, finansal riskten korunma aracının yenilenmesi veya bir başka finansal riskten korunma aracına aktarılması, bu işlemler işletmenin belgelenmiş riskten korunma stratejisinin bir parçası olduğu durumlarda, vadenin dolması ya da sonlandırma olarak kabul edilmez. Ayrıca, bu alt Paragrafın amaçları açısından aşağıdaki durumlarda, finansal riskten korunma aracının vadesinin dolması ya da sonlandırılması söz konusu değildir;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(i) Yürürlükteki mevzuat hükümleri veya mevzuatın yenilenmesi sonucunda, finansal riskten korunma aracının taraflarının, bir veya daha fazla takas kuruluşunun her bir tarafın yeni karşı tarafı haline gelmesi için başlangıçtaki karşı taraflarını yenilemek konusunda anlaşmaya varmaları. Bu amaçla, takas kuruluşu merkezi bir kuruluş (bazen bir “takas organı” ya da “takas kurumu” olarak adlandırılır) ya da örneğin merkezi bir kuruluş tarafından takasın gerçekleştirilmesi amacıyla karşı taraf olarak hareket eden, takas kuruluşunun bir takas üyesi ya da takas kuruluşunun takas üyesinin müşterisi olan işletme veya işletmelerdir. Ancak, finansal riskten korunma aracının taraflarının, başlangıçtaki karşı taraflarını farklı karşı taraflarla yenilemeleri durumunda, söz konusu tarafların yalnızca aynı merkezi kuruluş ile takas gerçekleştirmesi durumunda bu Paragraf uygulanır.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Finansal riskten korunma aracına ilişkin diğer değişikliklerin bulunması durumunda, bu değişikliklerin karşı tarafın bu şekilde yenilenmesini gerçekleştirmek için gerekli olanlarla sınırlı olması. Bu tür değişiklikler, finansal riskten korunma aracının başlangıçta takas kuruluşuyla takas edilmiş olması halinde, öngörülen şartlar ile tutarlı olanlarla sınırlıdır. Bu değişiklikler teminat hükümlerini, alacak ve borç bakiyelerini netleştirme haklarını ve kesilen masrafları içerir.”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(c) 108C paragrafından sonra gelmek üzere aşağıdaki şekilde 108D paragrafı eklenmiştir.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“108D. Türev Ürünlerin Yenilenmesi ve Finansal Riskten Korunma Muhasebesinin Uygulanmasının Sürdürülmesi değişikliğiyle bu Standardın 91 ve 101 inci paragrafları değiştirilmiş ve AG113A paragrafı eklenmiştir. Bu değişiklik 1 Ocak 2014 tarihinde veya sonrasında başlayan hesap dönemlerinde TMS 8 Muhasebe Politikaları, Muhasebe Tahminlerinde Değişiklikler ve Hatalar Standardı uyarınca geriye dönük olarak uygulanır. Erken uygulamaya izin verilmektedir. Bu durumda, anılan husus finansal tabloların dipnotlarında açıklanır.”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t>(d) UR113 paragrafından sonra gelmek üzere aşağıdaki şekilde UR113A paragrafı eklenmiştir.</w:t>
      </w:r>
    </w:p>
    <w:p w:rsidR="00536107" w:rsidRDefault="00536107" w:rsidP="00536107">
      <w:pPr>
        <w:pStyle w:val="3-NormalYaz"/>
        <w:spacing w:line="240" w:lineRule="exact"/>
        <w:ind w:firstLine="566"/>
        <w:rPr>
          <w:rFonts w:hAnsi="Times New Roman"/>
          <w:sz w:val="18"/>
          <w:szCs w:val="18"/>
        </w:rPr>
      </w:pPr>
      <w:r>
        <w:rPr>
          <w:rFonts w:hAnsi="Times New Roman"/>
          <w:sz w:val="18"/>
          <w:szCs w:val="18"/>
        </w:rPr>
        <w:lastRenderedPageBreak/>
        <w:t>“UR113A. Şüpheye yer vermemek üzere, başlangıçtaki karşı tarafın takas kuruluşu ile yenilenmesi ile 91(a)(</w:t>
      </w:r>
      <w:proofErr w:type="spellStart"/>
      <w:r>
        <w:rPr>
          <w:rFonts w:hAnsi="Times New Roman"/>
          <w:sz w:val="18"/>
          <w:szCs w:val="18"/>
        </w:rPr>
        <w:t>ii</w:t>
      </w:r>
      <w:proofErr w:type="spellEnd"/>
      <w:r>
        <w:rPr>
          <w:rFonts w:hAnsi="Times New Roman"/>
          <w:sz w:val="18"/>
          <w:szCs w:val="18"/>
        </w:rPr>
        <w:t>) ve 101(a)(</w:t>
      </w:r>
      <w:proofErr w:type="spellStart"/>
      <w:r>
        <w:rPr>
          <w:rFonts w:hAnsi="Times New Roman"/>
          <w:sz w:val="18"/>
          <w:szCs w:val="18"/>
        </w:rPr>
        <w:t>ii</w:t>
      </w:r>
      <w:proofErr w:type="spellEnd"/>
      <w:r>
        <w:rPr>
          <w:rFonts w:hAnsi="Times New Roman"/>
          <w:sz w:val="18"/>
          <w:szCs w:val="18"/>
        </w:rPr>
        <w:t>) paragraflarında açıklanan ilgili değişikliklerin yapılmasının etkileri, finansal riskten korunma araçlarının ölçümüne ve dolayısıyla finansal riskten korunmanın etkinliğinin değerlendirilmesine ve finansal riskten korunmanın etkinliğinin ölçümüne yansıtılır.”</w:t>
      </w:r>
    </w:p>
    <w:p w:rsidR="00536107" w:rsidRDefault="00536107" w:rsidP="00536107">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Bu Tebliğ, </w:t>
      </w:r>
      <w:proofErr w:type="gramStart"/>
      <w:r>
        <w:rPr>
          <w:rFonts w:hAnsi="Times New Roman"/>
          <w:sz w:val="18"/>
          <w:szCs w:val="18"/>
        </w:rPr>
        <w:t>31/12/2013</w:t>
      </w:r>
      <w:proofErr w:type="gramEnd"/>
      <w:r>
        <w:rPr>
          <w:rFonts w:hAnsi="Times New Roman"/>
          <w:sz w:val="18"/>
          <w:szCs w:val="18"/>
        </w:rPr>
        <w:t xml:space="preserve"> tarihinden sonra başlayan hesap dönemlerinde geçerli olmak üzere, yayımı tarihinde yürürlüğe girer. İşletmeler bu Tebliği </w:t>
      </w:r>
      <w:proofErr w:type="gramStart"/>
      <w:r>
        <w:rPr>
          <w:rFonts w:hAnsi="Times New Roman"/>
          <w:sz w:val="18"/>
          <w:szCs w:val="18"/>
        </w:rPr>
        <w:t>1/1/2014</w:t>
      </w:r>
      <w:proofErr w:type="gramEnd"/>
      <w:r>
        <w:rPr>
          <w:rFonts w:hAnsi="Times New Roman"/>
          <w:sz w:val="18"/>
          <w:szCs w:val="18"/>
        </w:rPr>
        <w:t xml:space="preserve"> tarihinden önce başlayan hesap dönemlerine ilişkin finansal tablolarında uygulayabilir. Bu durumda, anılan husus finansal tabloların dipnotlarında açıklanır.</w:t>
      </w:r>
    </w:p>
    <w:p w:rsidR="00536107" w:rsidRDefault="00536107" w:rsidP="00536107">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 hükümlerini Kamu Gözetimi, Muhasebe ve Denetim Standartları Kurumu Başkanı yürütür.</w:t>
      </w:r>
    </w:p>
    <w:p w:rsidR="00536107" w:rsidRDefault="00536107" w:rsidP="003A252D">
      <w:pPr>
        <w:spacing w:after="0" w:line="280" w:lineRule="atLeast"/>
        <w:jc w:val="both"/>
        <w:rPr>
          <w:rFonts w:ascii="Times New Roman" w:hAnsi="Times New Roman" w:cs="Times New Roman"/>
          <w:b/>
          <w:sz w:val="20"/>
          <w:szCs w:val="20"/>
          <w:u w:val="single"/>
        </w:rPr>
      </w:pPr>
    </w:p>
    <w:sectPr w:rsidR="0053610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F78" w:rsidRDefault="00D55F78" w:rsidP="00CE6B7C">
      <w:pPr>
        <w:spacing w:after="0" w:line="240" w:lineRule="auto"/>
      </w:pPr>
      <w:r>
        <w:separator/>
      </w:r>
    </w:p>
  </w:endnote>
  <w:endnote w:type="continuationSeparator" w:id="0">
    <w:p w:rsidR="00D55F78" w:rsidRDefault="00D55F7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36AF9">
        <w:pPr>
          <w:pStyle w:val="Altbilgi"/>
          <w:jc w:val="center"/>
        </w:pPr>
        <w:fldSimple w:instr=" PAGE   \* MERGEFORMAT ">
          <w:r w:rsidR="007F3BA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F78" w:rsidRDefault="00D55F78" w:rsidP="00CE6B7C">
      <w:pPr>
        <w:spacing w:after="0" w:line="240" w:lineRule="auto"/>
      </w:pPr>
      <w:r>
        <w:separator/>
      </w:r>
    </w:p>
  </w:footnote>
  <w:footnote w:type="continuationSeparator" w:id="0">
    <w:p w:rsidR="00D55F78" w:rsidRDefault="00D55F7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3BA0"/>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6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957</Words>
  <Characters>5460</Characters>
  <Application>Microsoft Office Word</Application>
  <DocSecurity>0</DocSecurity>
  <Lines>45</Lines>
  <Paragraphs>12</Paragraphs>
  <ScaleCrop>false</ScaleCrop>
  <Company>TURMOB</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671</cp:revision>
  <cp:lastPrinted>2013-12-13T06:43:00Z</cp:lastPrinted>
  <dcterms:created xsi:type="dcterms:W3CDTF">2013-06-03T05:31:00Z</dcterms:created>
  <dcterms:modified xsi:type="dcterms:W3CDTF">2014-02-11T06:40:00Z</dcterms:modified>
</cp:coreProperties>
</file>