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D60A47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28917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60A47" w:rsidRDefault="00D60A47" w:rsidP="00D60A47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D60A47" w:rsidRDefault="00D60A47" w:rsidP="00D60A47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TARIMSAL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KAYIT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ait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 ve elde edilen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genelinde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istatistiklerinin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Sisteminin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ile ilgili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izlenmesi ve raporlanmas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alacak birimlerin belirlenmesini,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ait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istatistiklerinin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netmelik; </w:t>
      </w:r>
      <w:proofErr w:type="gramStart"/>
      <w:r>
        <w:rPr>
          <w:sz w:val="18"/>
          <w:szCs w:val="18"/>
        </w:rPr>
        <w:t>18/4/2006</w:t>
      </w:r>
      <w:proofErr w:type="gramEnd"/>
      <w:r>
        <w:rPr>
          <w:sz w:val="18"/>
          <w:szCs w:val="18"/>
        </w:rPr>
        <w:t xml:space="preserve"> tarihli ve 5488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Kanununun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maddeleri, 3/6/2011 tarihli ve 639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11 inci ve 28 inci maddeleri ile 11/6/2010 tarihli ve 5996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Veteriner Hizmetleri, Bitki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Yem Kanununun 45 inci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Kamu hizmetlerinin ortak platformda, tek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(</w:t>
      </w:r>
      <w:proofErr w:type="spellStart"/>
      <w:r>
        <w:rPr>
          <w:sz w:val="18"/>
          <w:szCs w:val="18"/>
        </w:rPr>
        <w:t>portal</w:t>
      </w:r>
      <w:proofErr w:type="spellEnd"/>
      <w:r>
        <w:rPr>
          <w:sz w:val="18"/>
          <w:szCs w:val="18"/>
        </w:rPr>
        <w:t>) sunumunu ve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 Devlet hizmetlerine elektronik ortamdan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ve etkin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internet sitesini,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tahkim komisyonu: </w:t>
      </w:r>
      <w:proofErr w:type="gramStart"/>
      <w:r>
        <w:rPr>
          <w:sz w:val="18"/>
          <w:szCs w:val="18"/>
        </w:rPr>
        <w:t>16/4/2005</w:t>
      </w:r>
      <w:proofErr w:type="gramEnd"/>
      <w:r>
        <w:rPr>
          <w:sz w:val="18"/>
          <w:szCs w:val="18"/>
        </w:rPr>
        <w:t xml:space="preserve"> tarihli ve 25788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il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komisyonu: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birimler,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 ve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elerde;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teknik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Tapu ve Kadastro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teknik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ormanla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alanlarda il ve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elerdeki Orman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 teknik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ziraat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yerlerde ziraat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yetkili temsilcisi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muhtar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komisyonu,</w:t>
      </w:r>
      <w:proofErr w:type="gramEnd"/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tespit komisyonu: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tespit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bilgilerine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araziler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tespit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 ve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elerde;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en az iki teknik personel,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bilgi sistemi sorumlusu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y/mahalle muhtar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komisyonu,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tahkim komisyonu: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zleyici: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ve/veya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 yapma yetkisi bulunmayan, ilgisi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lerde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 raporu: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belgeyi,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KPS: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ve Vatanda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Kimlik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Sistemini,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tname: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belgeyi,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S: Tapu Kadastro Bilgi Sistemini,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arazisi: Toprak, topografya ve iklimsel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olup,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rda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 uygun olan veya imar, ihya,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slah edilerek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uygun hale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lebilen arazileri,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proofErr w:type="gramStart"/>
      <w:r>
        <w:rPr>
          <w:sz w:val="18"/>
          <w:szCs w:val="18"/>
        </w:rPr>
        <w:t>8/9/2006</w:t>
      </w:r>
      <w:proofErr w:type="gramEnd"/>
      <w:r>
        <w:rPr>
          <w:sz w:val="18"/>
          <w:szCs w:val="18"/>
        </w:rPr>
        <w:t xml:space="preserve"> tarihli ve 26283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zenlenmesine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), (i), (j) ve (n) bentlerinde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ve/veya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faaliyet: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girdilerle birlikte kullanarak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retim, yeti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ve pazarlama faaliyetlerini,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(T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KAS): Yasal durumu ne olursa olsun, arazinin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ve/veya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faaliyeti ve/veya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yapan tek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retime konu ekonomik birimlerin adres, kimlik bilgileri,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 bilgileriyle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alet </w:t>
      </w:r>
      <w:proofErr w:type="spellStart"/>
      <w:r>
        <w:rPr>
          <w:sz w:val="18"/>
          <w:szCs w:val="18"/>
        </w:rPr>
        <w:t>makina</w:t>
      </w:r>
      <w:proofErr w:type="spellEnd"/>
      <w:r>
        <w:rPr>
          <w:sz w:val="18"/>
          <w:szCs w:val="18"/>
        </w:rPr>
        <w:t xml:space="preserve"> ve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belirlemeye yarayacak bilgilerin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o)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Formu: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ve/veya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letmelerinden talep edilen ve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formu,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) Tespit raporu: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tespit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belgeyi,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p)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KAS il sistem sorumlusu: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 ve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sistem sorumlusu: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 ve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letmesi: Yasal durumu ne olursa olsun,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 da ortak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veya kiralama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arazinin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ve/veya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faaliyeti ve/veya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yapan tek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ekonomik birimi,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parseli: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kalan ve salt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faaliyeti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her bir arazi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merkez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takip etmeye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u)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Tek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bitkiler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hasat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bitkiler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ekim/dikim tarihi ile son hasat tarihi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her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) VEDOP: Vergi Daireleri Otomasyon Projesini,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v) Vejetasyon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bitkiler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bitkilerin ekim/dikiminden itibaren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son hasat tarihine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revlisi: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olmak ve/veya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bilgilerini sisteme kaydeden personeli,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 kurum ve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ile ilgili idari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Reformu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teknik konulardaki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Bilgi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uygulamaya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komisyonu, tespit komisyonu ve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proofErr w:type="gramEnd"/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belirlenen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sahiplerine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 ve/veya sivil toplum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 verilebilir. Yetki devri ile ilgili usul ve esaslar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 kapsam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ndaki tar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letmelerinden istenecek bilgi ve belgeler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kaydolmak veya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Formu (ek-1) istenir.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sistemdeki ilgili alanlar doldurulur.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kaydolmak veya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ncellemek isteyen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internet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doldurup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teslim ederek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bilgilerini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ve/veya sistemdeki ilgili alanlarda, kendilerine ve arazisini kulland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ait kimlik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bilgilerinin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 edilen kendilerine ait kimlik bilgileri KPS bilgileri ile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Beyan edilen kimlik bilgileri ile KPS bilgileri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KPS bilgilerinin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zelttirilmesi istenir.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rneklerindeki bilgiler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 edilen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bilgileri VEDOP ile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Beyan edilen bilgiler ile VEDOP bilgileri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 VEDOP bilgilerinin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zelttirilmesi istenir.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yer alan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tname istenir.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sistemdeki ilgili alanlar doldurulur.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letmelerinden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sistemdeki ilgili alanlarda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birimlerdeki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tapu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Tapu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meyen arazilerde 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birimlerde 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sisteminden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ilemeyen tapu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Bu tapular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TAKB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edilmesi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meyen, parsel yenileme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devam eden yerler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koordinat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Raporu istenir. Arazi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nan, ancak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bitmeyen yerler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edilmeyen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tespit komisyonu marifeti ile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faaliyette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tespit edilerek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 bilgileri sisteme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edilir. Bu tespit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(8)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Sistemi, Organik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Bilgi Sistemi,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Sistemi, </w:t>
      </w:r>
      <w:proofErr w:type="spellStart"/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r>
        <w:rPr>
          <w:sz w:val="18"/>
          <w:szCs w:val="18"/>
        </w:rPr>
        <w:t>ü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a</w:t>
      </w:r>
      <w:proofErr w:type="spellEnd"/>
      <w:r>
        <w:rPr>
          <w:b/>
          <w:sz w:val="18"/>
          <w:szCs w:val="18"/>
        </w:rPr>
        <w:t xml:space="preserve">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proofErr w:type="spellStart"/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</w:t>
      </w:r>
      <w:r>
        <w:rPr>
          <w:b/>
          <w:sz w:val="18"/>
          <w:szCs w:val="18"/>
        </w:rPr>
        <w:t>’ı</w:t>
      </w:r>
      <w:r>
        <w:rPr>
          <w:b/>
          <w:sz w:val="18"/>
          <w:szCs w:val="18"/>
        </w:rPr>
        <w:t>n</w:t>
      </w:r>
      <w:proofErr w:type="spellEnd"/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ncellenmesi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letmeleri,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olabilmek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istenen bilgi ve belgelerle,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ne, internet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bulunabilirler.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zaman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belirlenerek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web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duyurulur.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ncellemek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ahsen, noterce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letnameyle vekilleri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bulunabilirler.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ncellemelerini yapabilirler.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form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veya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ncellemelerde sistemdeki ilgili alanlar doldurulur.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faaliyetlerini,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 aral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kaydettirir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bulunanlar,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faaliyette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arazilerin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 edilmesinden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teslim ettikleri belgelerdeki ve/veya internet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beyan edilen bilgilerin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sorumludurlar.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sahipleri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doldurulan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istenecek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bilgi-belgeler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nce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dosyada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e-devlet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bilgileri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l/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tahkim komisyonunun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leyi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zmeye ve karar almaya yetkilidir. Sekretarya hizmetleri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tahkim komisyonu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taraf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Karara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 kararda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belirtir.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 tahkim komisyonu karar defterinde muhafaza edilir,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ilgili alana kaydedilir.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tespitine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alanlar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tespit ve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 ve tespit komisyonunun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takvime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ile ilgili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intikal ettirdi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inceler ve gerekiyorsa yerinde tespit yaparak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 l</w:t>
      </w:r>
      <w:r>
        <w:rPr>
          <w:sz w:val="18"/>
          <w:szCs w:val="18"/>
        </w:rPr>
        <w:t>ü</w:t>
      </w:r>
      <w:r>
        <w:rPr>
          <w:sz w:val="18"/>
          <w:szCs w:val="18"/>
        </w:rPr>
        <w:t>zumu halinde tapu,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belgelerin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tahkim komisyonu il genelinde yetkili olup; merkez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de yapar.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l/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ke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if komisyonunun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olmak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beyan edilen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parsel yenileme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devam eden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arazilerinin tespitini yapar.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tespiti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halde tahkim komisyonunca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arazilerinin yeniden tespitine l</w:t>
      </w:r>
      <w:r>
        <w:rPr>
          <w:sz w:val="18"/>
          <w:szCs w:val="18"/>
        </w:rPr>
        <w:t>ü</w:t>
      </w:r>
      <w:r>
        <w:rPr>
          <w:sz w:val="18"/>
          <w:szCs w:val="18"/>
        </w:rPr>
        <w:t>zum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arazilerini yerinde tespit eder.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Arazi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devam eden alanlarda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Sistemine konu olan arazileri toplula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alarak tespit eder.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alarak,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birimlerde k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koordinat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raporunu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zenler. Bu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if raporu,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ait arazi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tespitte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verilen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parsel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ait dosyada muhafaza edilir ve varsa tapu zab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 rapora eklenir.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ifli araziler sistemde yer alan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ifli araziler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kaydedilir.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d) Kadastro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birimlerde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malarda;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ait toplam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dikkate alarak, Tapu ve Kadastro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 birimlere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tahmini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uydu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lerinden, hava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orman amenajman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her nevi haritalardan,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defterlerinden,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elde edilecek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belgelerden ve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bilgi sistemlerinden faydalanarak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ylerin tahmini toplam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eder.</w:t>
      </w:r>
      <w:proofErr w:type="gramEnd"/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l/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tespit komisyonunun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tespit komisyonunun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bilgilerine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arazilerini kullanan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ve kulland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arazilerin yerinde tespitini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parseli belirleme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tespit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belirtilen arazilerin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faaliyetlerin tespitini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 sistem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neticisinin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uygulama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lokasyonunu</w:t>
      </w:r>
      <w:proofErr w:type="spellEnd"/>
      <w:r>
        <w:rPr>
          <w:sz w:val="18"/>
          <w:szCs w:val="18"/>
        </w:rPr>
        <w:t xml:space="preserve"> ve yetkilerini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Raporlamalar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</w:t>
      </w:r>
      <w:proofErr w:type="gramStart"/>
      <w:r>
        <w:rPr>
          <w:sz w:val="18"/>
          <w:szCs w:val="18"/>
        </w:rPr>
        <w:t>entegrasyonu</w:t>
      </w:r>
      <w:proofErr w:type="gramEnd"/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verilecek benzeri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 il sistem sorumlusunun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il sistem sorumlusunun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 genelindeki uygulama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genelinde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 ve yetkilendirmek,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bizzat yapmak isteyen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genelinde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bilgilerine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 tahkim komisyonuna iletmek.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tahkim komisyonu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KAS il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sistem sorumlusunun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sistem sorumlusunun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genelindeki uygulama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genelinde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bilgilerine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dosya kabul etmek ve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bizzat yapmak isteyen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ifli arazileri sisteme kaydetmek.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komisyonuna iletmek.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tahkim komisyonu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kaydetmek.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Dosya kabul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revlisinin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Dosya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eklen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yapmak ve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eksiksiz kabul 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ismiyle imzalamak.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Veri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revlisinin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kendisine verilen dosyadaki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bilgilerini sisteme eksiksiz kaydetmek.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tespit edilen eksiklikleri gidermek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sistem sorumlusuna bilgi vermek.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ismiyle imzalamak.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Yararlanma hakk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tlar, esas olarak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faaliyetin belirlenmesine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neliktir.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tespitinde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urmaz.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girdilerin temininde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Entegrasyon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elektronik ortamda bulunan verilerden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halinde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 tabanlar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elektronik verilerden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Veri payla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kaydedilen verilerin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aittir. </w:t>
      </w:r>
      <w:proofErr w:type="spell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</w:t>
      </w:r>
      <w:proofErr w:type="spellEnd"/>
      <w:r>
        <w:rPr>
          <w:sz w:val="18"/>
          <w:szCs w:val="18"/>
        </w:rPr>
        <w:t xml:space="preserve"> yer alan veriler,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kullanma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duyan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belirlenecek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izleyici olarak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sistem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ve il/il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sistem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kendilerine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ifresi verilenler,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surette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KAS verileri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hareket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davrananlar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acak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tazmininden sorumludur.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60A47" w:rsidRDefault="00D60A47" w:rsidP="00D60A47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60A47" w:rsidRDefault="00D60A47" w:rsidP="00D60A47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D60A47" w:rsidRDefault="00D60A47" w:rsidP="00D60A47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D60A47" w:rsidRDefault="00D60A47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60A47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56" w:rsidRDefault="00B20656" w:rsidP="00CE6B7C">
      <w:pPr>
        <w:spacing w:after="0" w:line="240" w:lineRule="auto"/>
      </w:pPr>
      <w:r>
        <w:separator/>
      </w:r>
    </w:p>
  </w:endnote>
  <w:endnote w:type="continuationSeparator" w:id="0">
    <w:p w:rsidR="00B20656" w:rsidRDefault="00B2065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56381">
        <w:pPr>
          <w:pStyle w:val="Altbilgi"/>
          <w:jc w:val="center"/>
        </w:pPr>
        <w:fldSimple w:instr=" PAGE   \* MERGEFORMAT ">
          <w:r w:rsidR="00D60A4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56" w:rsidRDefault="00B20656" w:rsidP="00CE6B7C">
      <w:pPr>
        <w:spacing w:after="0" w:line="240" w:lineRule="auto"/>
      </w:pPr>
      <w:r>
        <w:separator/>
      </w:r>
    </w:p>
  </w:footnote>
  <w:footnote w:type="continuationSeparator" w:id="0">
    <w:p w:rsidR="00B20656" w:rsidRDefault="00B2065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56381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18-4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2967</Words>
  <Characters>16917</Characters>
  <Application>Microsoft Office Word</Application>
  <DocSecurity>0</DocSecurity>
  <Lines>140</Lines>
  <Paragraphs>39</Paragraphs>
  <ScaleCrop>false</ScaleCrop>
  <Company>TURMOB</Company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695</cp:revision>
  <cp:lastPrinted>2013-12-13T06:43:00Z</cp:lastPrinted>
  <dcterms:created xsi:type="dcterms:W3CDTF">2013-06-03T05:31:00Z</dcterms:created>
  <dcterms:modified xsi:type="dcterms:W3CDTF">2014-02-18T06:35:00Z</dcterms:modified>
</cp:coreProperties>
</file>