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980B9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28945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2D1" w:rsidRDefault="00B162D1" w:rsidP="00B162D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B162D1" w:rsidRDefault="00B162D1" w:rsidP="00B162D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GENEL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25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</w:p>
    <w:p w:rsidR="00B162D1" w:rsidRDefault="00B162D1" w:rsidP="00B162D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B162D1" w:rsidRDefault="00B162D1" w:rsidP="00B162D1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33)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4760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Vergisi Kanunu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25 Seri No.lu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Vergisi (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TV)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yer verilen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25 Seri No.lu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1.1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kelleflerinin Tesliminde Verginin Beyan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alt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(16.4./j) ibaresi (16.3.5.2./d) olarak;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2.1. (B) Cetvelindeki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Cetveldeki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Tesliminde Verginin Beyan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3.1.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kelleflerinin Baz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Tesliminde Verginin Beyan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alt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ikinci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(16.4./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ibareleri ise (16.3.5.2./c)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4.1.1. Mahsup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alt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“İ</w:t>
      </w:r>
      <w:r>
        <w:rPr>
          <w:sz w:val="18"/>
          <w:szCs w:val="18"/>
        </w:rPr>
        <w:t xml:space="preserve">ade talebi, internet vergi dairesi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KDV (KDV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kellefiyetinin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Gelir veya Kurumlar Vergisi)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olunan vergi dairesine verilecek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4.1.2. Mahsup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esine Eklenecek Belgeler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alt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(</w:t>
      </w:r>
      <w:proofErr w:type="spellStart"/>
      <w:r>
        <w:rPr>
          <w:sz w:val="18"/>
          <w:szCs w:val="18"/>
        </w:rPr>
        <w:t>iii</w:t>
      </w:r>
      <w:proofErr w:type="spellEnd"/>
      <w:r>
        <w:rPr>
          <w:sz w:val="18"/>
          <w:szCs w:val="18"/>
        </w:rPr>
        <w:t>.) bendinde parantez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gerekmektedir.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Ancak 5174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Odalar ve Borsalar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5 inci maddesinin 7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sanayici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sanayi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kaydolma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bulunmayan 10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iye kadar i</w:t>
      </w:r>
      <w:r>
        <w:rPr>
          <w:sz w:val="18"/>
          <w:szCs w:val="18"/>
        </w:rPr>
        <w:t>şç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imalat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larca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sanayi ve ticaret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illerde ticaret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bulunmaktad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4.2.1. Nakden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alt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“İ</w:t>
      </w:r>
      <w:r>
        <w:rPr>
          <w:sz w:val="18"/>
          <w:szCs w:val="18"/>
        </w:rPr>
        <w:t xml:space="preserve">ade talebi, internet vergi dairesi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KDV (KDV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kellefiyetinin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Gelir veya Kurumlar Vergisi)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olunan vergi dairesine verilecek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4.2.2. Nakden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Talebinin Yerine Getirilmesi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alt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paragraf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“Ö</w:t>
      </w:r>
      <w:r>
        <w:rPr>
          <w:sz w:val="18"/>
          <w:szCs w:val="18"/>
        </w:rPr>
        <w:t xml:space="preserve">te yandan 1 Seri No.lu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</w:t>
      </w:r>
      <w:r>
        <w:rPr>
          <w:sz w:val="18"/>
          <w:szCs w:val="18"/>
          <w:vertAlign w:val="superscript"/>
        </w:rPr>
        <w:t>4</w:t>
      </w:r>
      <w:r>
        <w:rPr>
          <w:sz w:val="18"/>
          <w:szCs w:val="18"/>
        </w:rPr>
        <w:t xml:space="preserve"> (16.3.1.)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verilen teminatlardan nakden iade talepleri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teminat yerine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bulunmaktad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B162D1" w:rsidRDefault="00B162D1" w:rsidP="00B162D1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B162D1" w:rsidRDefault="00B162D1" w:rsidP="00B162D1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——————————————</w:t>
      </w:r>
    </w:p>
    <w:p w:rsidR="00B162D1" w:rsidRDefault="00B162D1" w:rsidP="00B162D1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proofErr w:type="gramStart"/>
      <w:r>
        <w:rPr>
          <w:sz w:val="18"/>
          <w:szCs w:val="18"/>
        </w:rPr>
        <w:t>12/6/2002</w:t>
      </w:r>
      <w:proofErr w:type="gramEnd"/>
      <w:r>
        <w:rPr>
          <w:sz w:val="18"/>
          <w:szCs w:val="18"/>
        </w:rPr>
        <w:t xml:space="preserve"> tarihli ve 24783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162D1" w:rsidRDefault="00B162D1" w:rsidP="00B162D1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proofErr w:type="gramStart"/>
      <w:r>
        <w:rPr>
          <w:sz w:val="18"/>
          <w:szCs w:val="18"/>
        </w:rPr>
        <w:t>11/10/2012</w:t>
      </w:r>
      <w:proofErr w:type="gramEnd"/>
      <w:r>
        <w:rPr>
          <w:sz w:val="18"/>
          <w:szCs w:val="18"/>
        </w:rPr>
        <w:t xml:space="preserve"> tarihli ve 28438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162D1" w:rsidRDefault="00B162D1" w:rsidP="00B162D1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3 </w:t>
      </w:r>
      <w:proofErr w:type="gramStart"/>
      <w:r>
        <w:rPr>
          <w:sz w:val="18"/>
          <w:szCs w:val="18"/>
        </w:rPr>
        <w:t>1/6/2004</w:t>
      </w:r>
      <w:proofErr w:type="gramEnd"/>
      <w:r>
        <w:rPr>
          <w:sz w:val="18"/>
          <w:szCs w:val="18"/>
        </w:rPr>
        <w:t xml:space="preserve"> tarihli ve 25479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162D1" w:rsidRDefault="00B162D1" w:rsidP="00B162D1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4 </w:t>
      </w:r>
      <w:proofErr w:type="gramStart"/>
      <w:r>
        <w:rPr>
          <w:sz w:val="18"/>
          <w:szCs w:val="18"/>
        </w:rPr>
        <w:t>30/7/2002</w:t>
      </w:r>
      <w:proofErr w:type="gramEnd"/>
      <w:r>
        <w:rPr>
          <w:sz w:val="18"/>
          <w:szCs w:val="18"/>
        </w:rPr>
        <w:t xml:space="preserve"> tarihli ve 24831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162D1" w:rsidRDefault="00B162D1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162D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E2A" w:rsidRDefault="004F5E2A" w:rsidP="00CE6B7C">
      <w:pPr>
        <w:spacing w:after="0" w:line="240" w:lineRule="auto"/>
      </w:pPr>
      <w:r>
        <w:separator/>
      </w:r>
    </w:p>
  </w:endnote>
  <w:endnote w:type="continuationSeparator" w:id="0">
    <w:p w:rsidR="004F5E2A" w:rsidRDefault="004F5E2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A1EF9">
        <w:pPr>
          <w:pStyle w:val="Altbilgi"/>
          <w:jc w:val="center"/>
        </w:pPr>
        <w:fldSimple w:instr=" PAGE   \* MERGEFORMAT ">
          <w:r w:rsidR="00B162D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E2A" w:rsidRDefault="004F5E2A" w:rsidP="00CE6B7C">
      <w:pPr>
        <w:spacing w:after="0" w:line="240" w:lineRule="auto"/>
      </w:pPr>
      <w:r>
        <w:separator/>
      </w:r>
    </w:p>
  </w:footnote>
  <w:footnote w:type="continuationSeparator" w:id="0">
    <w:p w:rsidR="004F5E2A" w:rsidRDefault="004F5E2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36654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415</Words>
  <Characters>2366</Characters>
  <Application>Microsoft Office Word</Application>
  <DocSecurity>0</DocSecurity>
  <Lines>19</Lines>
  <Paragraphs>5</Paragraphs>
  <ScaleCrop>false</ScaleCrop>
  <Company>TURMOB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761</cp:revision>
  <cp:lastPrinted>2013-12-13T06:43:00Z</cp:lastPrinted>
  <dcterms:created xsi:type="dcterms:W3CDTF">2013-06-03T05:31:00Z</dcterms:created>
  <dcterms:modified xsi:type="dcterms:W3CDTF">2014-03-18T07:58:00Z</dcterms:modified>
</cp:coreProperties>
</file>