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2210" w:rsidRDefault="00370C6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41C0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Sayı : 28948</w:t>
      </w:r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93339D" w:rsidRPr="0093339D" w:rsidRDefault="0093339D" w:rsidP="0093339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BANKALARIN 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ILAMA ORANI HESAPLAMASINA</w:t>
      </w:r>
    </w:p>
    <w:p w:rsidR="0093339D" w:rsidRPr="0093339D" w:rsidRDefault="0093339D" w:rsidP="0093339D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3339D" w:rsidRPr="0093339D" w:rsidRDefault="0093339D" w:rsidP="0093339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Kapsam, Dayanak ve Tan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konsolide ve konsolide olmayan bazda, asgari likidite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zeyini belirlemek amac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yla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layabilecek seviyede yeterli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 bulundurmalar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netmelik, 19/10/2005 tarihli ve 5411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 Kanununun 43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46 ve 93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a) Banka: Kanunun 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: Kanunun 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Kamu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u: 28/6/2012 tarihli ve 28337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kamu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Kanun: 5411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Kanununu,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d)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orta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kteki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letmeler (KOB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): 19/10/2005 tarihli ve 2005/9617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giren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Orta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kteki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letmelerin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Nitelikleri ve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KOB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 ile muadil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zenlemeleri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KOB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İ”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kabul edilen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e) Kredi kalitesi kademesi: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eki Ek-1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belirtilen kredi kalitesi kademesini,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f)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u: Kanunun 3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g) Kurul: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zenleme ve Denetleme Kurulunu,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Kurum: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zenleme ve Denetleme Kurumunu,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meleri: Repo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ve/veya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veya emtia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ve/veya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sermaye piyasas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lemleri kapsayan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eve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melerini,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lem: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netmelikte belirtilen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ile kredi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revlerini,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i)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Muhasebe Standartlar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(TMS): 26/9/2011 tarihli ve 660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Kamu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Kurumunun 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 Kararname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Kamu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zetimi Muhasebe ve Denetim Standartlar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Kurulu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onaylanarak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Muhasebe Standard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Finansal Raporlama Standard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yay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muhasebe standartlar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bu alana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zenlemeleri,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93339D" w:rsidRPr="0093339D" w:rsidRDefault="0093339D" w:rsidP="0093339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Likidite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zeyinin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lmesi ve 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Likidite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zeyinin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lmesi ve 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likidite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zeyi, konsolide ve konsolide olmayan bazda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konsolide ve konsolide olmayan bazda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hesaplanmak suretiyle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 stokunun,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nmesi suretiyle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Konsolide olmayan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yla,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nleri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hesaplanacak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haftal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basit aritmetik ortalamas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nmak; konsolide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yla,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nleri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hesaplanacak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basit aritmetik ortalamas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nmak suretiyle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Konsolide ve konsolide olmayan toplam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zden, konsolide ve konsolide olmayan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seksenden az olamaz.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(5)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narak Kurul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ndan, konsolide ve konsolide olmayan toplam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her bir banka ya da banka grubu baz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farkl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93339D" w:rsidRPr="0093339D" w:rsidRDefault="0093339D" w:rsidP="0093339D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 ve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 Stoku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ile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klardan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ikinci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klardan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Bir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 kolayl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 ve do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ru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lebilmeli.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Aktif ve derin bir piyasas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Likidite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 dahi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venilir bir likidite kayna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turmal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teminata konu edilmemi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d)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transfer edilmesini, tasfiye edilmesini engelleyen yasal veya operasyonel herhangi bir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tlama bulunmamal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e)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cinsinden veya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viz ve efektif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kuru belirlenerek ilan edilen para birimleri cinsinden olmal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Ters repo,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alma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lemleri, kredili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ile teminat swaplar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neticesinde teminat olarak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ve ikinci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yan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veya ikinci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ya da kamu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depo edilen, teminata verilen ancak likidite temin edilmesinde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olan ve (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bendi hari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zere ikinci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yan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ile ikinci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(5)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meden kaynaklanan geri isteme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ile bu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sonucunda elde edilen nakit,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(6)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 veya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garantisiyle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olsalar dahi,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kendisi veya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ya da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tirakleri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ipotek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 ve konut ipote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ine dayal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 ile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kendisi veya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ya da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tirak veya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hisse senetleri,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(7)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dikkate alabilece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ilave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Kurulca belirlenir.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Birinci kalite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(1)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dakilerden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Kasa, efektif deposu ve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nezdindeki vadeli ve vadesiz serbest hesaplar ile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bankalararas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piyasas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bankalara verilen gecelik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ya da ihracat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derecelendirilen ve kredi kalitesi kademesi %0 risk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 eden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netimleri,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kamu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Uluslararas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Uluslararas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Fonu, Avrupa Birli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i, Avrupa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ok tarafl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ya da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garantisiyle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T.C. Hazine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ya da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veya 28/3/2002 tarihli ve 4749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Kamu Finansman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netiminin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zenlenmesi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Kanun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kurulan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 kiralama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irketlerince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bunlar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cinsinden,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kleri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hesaplanacak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kadarl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d)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yurtd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ubelerinin bulundu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ve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ya da ihracat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derecelendirilen ve kredi kalitesi kademesi %0 risk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 etmeyen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lkelerin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netimleri ya da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ulusal para birimleri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bunlar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ulusal para birimi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 bir para birimi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cinsinden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hesaplanacak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kadarl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e) Konsolide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olarak, ana ortakl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konsolide etti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yurtd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yerle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ik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u,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ya da ihracat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derecelendirilen ve kredi kalitesi kademesi %0 risk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 etmeyen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lkelerin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netimleri ya da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ulusal para birimleri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bunlar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ulusal para birimi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 bir para birimi cinsinden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birimi cinsinden,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hesaplanacak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kadarl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2A kalite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dakilerden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6 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maddenin birinci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(d) ve (e) bendi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yla,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ya da ihracat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derecelendirilen ve kredi kalitesi kademesi %20 risk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 eden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netimleri,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kamu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ok tarafl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ya da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garantisiyle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verilen uzun vadeli kredi derecelendirme notu AA-, uzun vadeli kredi derecelendirme notunun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vadeli kredi derecelendirme notu AA-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ye 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ya da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yle bir derecelendirme notu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sel derecelendirme sistemi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temerr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 olas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AA- veya daha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olan ipotek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 ile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2B kalite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(1)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dakilerden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Konut ipote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ine dayal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ymetlerden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yanlar.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1)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verilen uzun vadeli kredi derecelendirme notu,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vadeli kredi derecelendirme notu ya da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yle bir derecelendirme notu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sel derecelendirme sistemi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temerr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 olas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AA veya daha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ya da buna 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olan.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2)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havuzu sadece konut ipotekli alacaklardan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ve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tiraklerinin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herhangi bir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ermeyen.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3)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potek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tahsili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ipote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nakde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 sonucunda elde edilen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alaca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layamamas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 fark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tamamlanma garantisi bulunan.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havuzundaki toplam alacaklar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ipote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konu konutlar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toplam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erine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en fazla %80 olan.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5)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havuzundaki alacaklar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kalitesinin devaml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teminen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alacaklara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kredi riskinin bir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stlenilen.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Yetkili bir kredi derecelendirme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verilen uzun vadeli kredi derecelendirme notu A+ ile BBB- 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uzun vadeli kredi derecelendirme notu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vadeli kredi derecelendirme notu A+ ile BBB- 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ya da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yle bir derecelendirme notu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sel derecelendirme sistemi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hesaplanm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temerr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 olas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A+ ile BBB- 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olan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BIST100 endeksi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olan veya yurtd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ubelerin bulundu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lkelerin ana endeksleri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ve ulusal para birimleri cinsinden olan hisse senetleri.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Konsolide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olarak, ana ortakl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konsolide etti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yurtd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yerle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ik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lkelerin ana endeksleri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ve ulusal para birimleri cinsinden olan hisse senetleri.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 stoku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tutarlar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 suretiyle Ek-3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 yer alan form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TMS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bulunacak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erlerine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cetvelde belirtilen ilgili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uyguland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ktan sonra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repo, ters repo,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alma veya verme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lemleri, kredili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ile teminat swap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lemlerinin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 tarihi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ece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kabul edilir. Bu kapsamda,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mesiyle,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nacak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na,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veya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eklenmesi,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Verilecek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ndan,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veya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suretiyle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on be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ile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yirmi be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amaz. Bu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uyguland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ktan sonra hesaplanacak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ikinci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bu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uyguland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ktan sonra hesaplanacak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 stoku 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erisinde dikkate al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nmaya devam edilme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stokundaki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piyasa riskinden korunmaya konu edilseler dahi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edilmeye devam edilebilir. Ancak, korunmaya konu edilmi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halinde riskten korunman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vadesinden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nce sona ermesiyle ortaya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kabilecek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erine yans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stokundaki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klardan vadelerine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stokunda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nmaya devam edilir,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nmazlar.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5 inci maddenin ikinci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kaybeden ya da seviyesi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iklik tarihinden itibaren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reyle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iklikten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nceki seviyelerinde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nmaya devam edilebilir.</w:t>
      </w:r>
    </w:p>
    <w:p w:rsidR="0093339D" w:rsidRPr="0093339D" w:rsidRDefault="0093339D" w:rsidP="0093339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Net Nakit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ve Hesaplamas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Net nakit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Net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, toplam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toplam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lerini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toplam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lerinin toplam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zde yetmi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teminat swaplar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lemlerinde,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inin verilen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nan teminat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zerinden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verilen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verilen teminat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Nakit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ve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klerin TMS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cetvelde belirtilen ilgili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suretiyle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faiz tahakkuklar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gider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demelerine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ilgili olduklar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;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lar,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lar,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lardan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ve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olarak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(3) Birden fazla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girebilecek kalemler, en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 eden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(4)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Vadesiz,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Vadelerine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Vadelerine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fazla kalan, ancak alacakl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vadesinden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 talep etme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bulunan ve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denmesi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inisiyatifinde olmakla birlikte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denmemesi halinde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itibar riskine maruz kalaca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Vadelerine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fazla kalan, ancak alacakl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vadesinden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 talep etme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bulunan ve vadeden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denmesi halinde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alaca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faiz gelirinden/k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daha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bir kayba 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ramayaca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(5)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da belirtilenler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Vadelerine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fazla kalan, ancak alacakl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vadesinden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 talep etme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klerden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meye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ihbar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resi olanlar.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Operasyonel giderlere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 m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terilere teminats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ilerin Tasarruf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Sigorta Fonunca sigortalanan mevduatlar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maa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gibi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zenli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olanlar ile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sahibinin bankada kredisinin,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yat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gibi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 bir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kisi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sebebiyle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ekilme olas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olanlar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ilere ait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girmeyen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ile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karar verilemeyen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fonu,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Bankaca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edilen, sadece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 ve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ve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ndakilere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olmayan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bu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 yat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yapanlar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Perakende m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terilere teminats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teri, reeskont ve tahakkuklar dahil bankaya olan toplam borcu ile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bankadan olan toplam alaca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2 milyon 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nin alt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olan KOB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ifade eder. Bu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nacak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erleri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Sermaye Yeterlili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lmesine ve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erlendirilmesine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5 inci maddesinin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ikinci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belirtilen oranlar uyguland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ktan sonraki tutarlard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erlendirilemeyen KOB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ler,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 olarak 15 inci madde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(2)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Tasarruf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Sigorta Fonunca sigortalanan mevduatlar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zenli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olanlar ile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sahibinin bankada kredisinin,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yat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hesab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gibi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 bir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kisi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sebebiyle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ekilme olas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olanlar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ait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girmeyen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ile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karar verilemeyen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fonu,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Bankaca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edilen, sadece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 ve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ve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ndakilere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olmayan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bu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 yat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yapanlar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 ki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ilere teminats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 ile perakende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kalan ki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ilerin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operasyonel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ve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na, bunlara olan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veya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ile merkezi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netimler, merkez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ok tarafl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bankalar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kamu kurumlar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fonundan Tasarruf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Sigorta Fonu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olanlar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operasyonel veya operasyonel olmayan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Tasarruf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Sigorta Fonu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olmayanlar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operasyonel veya operasyonel olmayan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istikrarl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kabul edilirler.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Operasyonel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belirlenemeyen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fonunun tamam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operasyonel olmayan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bankadan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nacak takas, saklama veya nakit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 hizmeti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bankada tutulan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fonundan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yanlar operasyonel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fonunun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tirmek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tutuluyor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amac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faiz geliri/k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elde etmek olmamas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Mevduat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fonunun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hesaplardan ayr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hesaplarda izlenmesi ve bu hesaplarda fazla fon tutulmas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ekilde herhangi bir 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vik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(5)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bir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lemin takas, saklama veya nakit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erlendirilebilmesi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 banka vas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tirecek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hizmetlere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olarak bankayla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bir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menin bulunmas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melerin sona ermesi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en az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bir ihbar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resi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bankada tutulan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fonunun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ekilmesinin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turaca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maliyetin, kaybedilecek faiz gelirinin/k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gerekmektedir.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(6) Takas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lemleri;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fonlar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ymetlerinin yurti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takas sistemi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nihai muhataba transferinin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 Bu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lemler; transfer,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 emirlerinin mutabakat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gecelik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lanma,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gibi faaliyetleri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(7) Saklama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lemleri;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ait finansal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saklama, raporlama, operasyonel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netimsel faaliyetlerden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ur.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lemler, saklama hizmetleriyle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kili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ymetlerin takas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demelerin transferi, teminat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lemleri, nakit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netimi, temett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benzeri gelirlerin tahsil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gibi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kapsar.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(8) Nakit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lemleri;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nakit 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ve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klerini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 ve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ola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faaliyetlerini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tirmek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gereken finansal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tme hizmetlerini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erir. Fonlar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toplanmas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, toplanan fonlardan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maa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 gibi hizmetler bu kapsamda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(9) Takas, saklama ve nakit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 hizmetleri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tutulmas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gerekenin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zerindeki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ile muhabir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veya portf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netimi faaliyetlerinden kaynaklanan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operasyonel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 teminats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lacak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etti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 13 ve 14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maddelerin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belirtilenler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komisyon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demeleri, temett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teminats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tesis edilmesi gereken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ortalama tutulan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bir sonraki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meyece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kabul edilir.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hesapland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yla, bir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nemin kalan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nlerinde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tutulacak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ortalama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hesaplama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bir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ncesinde tesis edilen zorunlu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Teminatl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17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Repo,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verme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lemleri, kredili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ve teminat swaplar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ikinci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krada belirtilen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kaynaklanan pozisyonlar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kapatmak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terilere verilen teminatlar,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 ve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kaynaklanan pozisyonunun kapat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ymeti kendi portf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ya da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arac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hesaplar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yer alan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 haiz teminatlardan veya ters repo,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alma gibi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 yoluyla banka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temin edilmesidir.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birden fazla teminat verilmi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teminatlar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 olarak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kilendirilmemi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ise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teminat olarak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ncelikle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olmayan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daha sonra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verildi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kabul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Yap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lardan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Do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rudan banka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edilen,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dayal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ymetler, ipotek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lardan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Konsolide edilip edilmedi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ine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 ama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gibi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arac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edilen,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lardan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ile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fazla bir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re kalsa dahi vadesinden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nce dayanak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bankaya geri verilmesi ya da bankadan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bedelinin temininin istenmesi opsiyonu bulunan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lardan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dayanak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,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Bilan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(1)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lanlar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kredi derecesinin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mesine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Verilen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erlerinde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ihtimaline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her an geri istenebilme ihtimaline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d)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tarafa verilme tarihinin gelmesinden kaynaklanan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e)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teminatlardan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rden olmayan teminatlarla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tirilme ihtimaline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f)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klerin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erlerinde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iklik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ihtimaline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g)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lamaz veya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) Herhangi bir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rev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re kalan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ile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tirilmek suretiyle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nabilecek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nakit veya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tekrar likidite temini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kullanabilmesinde yasal veya operasyonel herhangi bir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bulunmayan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 haiz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 Net tutarlar bulunurken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cetvelde,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veya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belirlenen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hesaplanm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mesinin mevcut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ayn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 ile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ile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Opsiyon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opsiyon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rda opsiyonlar delta 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erleri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zerinden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kredi derecesinin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mesine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nca,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uzun veya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vadeli kredi notunun 3 dereceye kadar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mesi sonucu erken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deme, ilave teminat zorunlulu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gibi ko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klerde, geri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denecek tutar ya da konulacak ilave teminat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Verilen teminatlar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ger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 uygun de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erlerinde de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iklik olmas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ihtimaline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Teminat tamamlama zorunlulu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bulunan bir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veya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verilen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birinci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ini haiz olmayan bir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durumunda,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erinde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meydana gelme ihtimaline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nominal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zerinden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 veya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in,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tekrar likidite temini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kullanabilmesinde herhangi bir yasal veya operasyonel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halinde, verilen teminatlar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 ile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tirilebilir.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rken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cetvelde, ilgisine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re birinci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klar, 2A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veya 2B kalite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belirlenen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zerinden, verilen teminatlar tamam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Arac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hesaplar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izlenen teminatlar sadece konu olduklar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 ilgili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tirilmesinde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nan teminatlar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 her an geri istenebilme ihtimaline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mede belirtilenden fazla tutarda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ve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tekrar likidite temini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kullanabilmesinde herhangi bir yasal veya operasyonel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bulunmayan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talep edilme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z konusu fazla tutar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Teminatlar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tarafa verilme tarihinin gelmesinden kaynaklanan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teminat verme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girdi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bir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menin mevcut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verilme tarihi geldi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halde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bankadan hen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talep edilmemi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 bahse konu teminat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nan teminatlardan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 olanlar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bu t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rden olmayan teminatlarla de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tirilme ihtimaline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Teminat olarak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ve banka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tekrar likidite temin etme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nelik herhangi bir yasal veya operasyonel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bulunmayan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bu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rden olmayan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klarla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tirilmesini talep etme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durumunda, teminat olarak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lemler ve di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klerin ger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 uygun de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erlerinde de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iklik olmas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ihtimaline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klerin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erlerinde meydana gelebilecek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imlerin teminatla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durumlarda; teminat tamamlama sebebiyle son 24 ay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ilgili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veya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net teminat 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mutlak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olarak en b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 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24 aydan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olan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kler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lemin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tarihten itibaren hesaplama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zel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tirme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mesinin mevcut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 ayn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 ile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ile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Cay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lamaz veya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olarak cay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lamaz veya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kralarda yer alan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 hari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zere,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lamaz veya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ile teminatland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ya 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nakde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 bu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rden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bankaya verilece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bir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menin bulunmas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banka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tekrar likidite temin etme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nelik herhangi bir yasal veya operasyonel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rlama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nakde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mesi ihtimali ile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piyasa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 aras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bir korelasyon bulunmamas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teminatlar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durumunda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teminatlar ile netle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terilerin finansal piyasalara olan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verilen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tleri,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temin etti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borcun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zerinden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 Temin edilen borcun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fazla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verilen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tleri hesaplamada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nmaz. Finansal piyasalardan temin edilecek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verilen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tleri,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 tutar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vadesine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Bu madde uygulamas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banka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terisinin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kaynaklanan pozisyonunu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 bir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 olmayan bir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kaynaklanan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lamaz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tler,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terinin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ekme, bu nedenle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pozisyonu banka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temin etme zorunlulu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 ihtimaline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abilecek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(5)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kaynaklanan pozisyonunu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ymetlerle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lemlerde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 olarak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ymetin,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lemlerde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hesaplanmaz.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Herhangi bir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olmaks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cay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 herhangi bir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cay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labilir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kin nakit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bir ayr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Nakit giri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leri,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ve bilan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o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TMS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cetvelde belirtilen ilgili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uygulanmak suretiyle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lastRenderedPageBreak/>
        <w:t>(2)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meye dayal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sakl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gerekir.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faiz/k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gelir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demelerine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ilgili olduklar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TMS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erlenmi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tutarlar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Vadesiz veya vadesi belli olmayan alacaklar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tahsil edilmesi gereken asgari anapara, komisyon, temett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katk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ya da faiz/k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olarak kabul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(4)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tarihi belirlenirken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me gere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teriye tan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nan en son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 tarihi dikkate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(5) Ters repo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alma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ile kredili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 gibi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n,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nan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lemlerinden kaynaklanan pozisyonu kapatmada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p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ve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hesaplamaya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yer almayan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ymetlerin anapara, faiz/k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katk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temett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demeleri,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ve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dahil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(7)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rev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lemlerin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20 nci madde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hesaplamaya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(8) Be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inci, alt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kralarda belirtilen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ndakiler teminatl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edilir.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Nakit giri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 hesaplamas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 kat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lmayan 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lem ve varl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klar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da belirtilen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 ve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klar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zerinden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 hesaplanmaz.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ksek kaliteli likit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b) 1/11/2006 tarihli ve 26333 say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mlanan Bankalarca Kredilerin ve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Alacaklar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Niteliklerinin Belirlenmesi ve Bunlar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lacak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klara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donuk alacak olarak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lan veya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demesinde gecikme beklenen alacaklar ile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arta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c) Bor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lu cari hesaplar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asgari anapara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ndaki anapara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demeleri gibi vadesiz veya vadesi belli olmayan alacaklar.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) Vadesine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ya da daha az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 kalan ters repo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lemi, menkul 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ymet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alma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 ya da teminat swap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 sonucu edinilen teminat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bankan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vadesi otuz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nden daha uzun vadeli bir 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leminden kaynaklanan pozisyonunu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lamakta kullan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lemler.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d) Temin edilen gayri nakdi krediler, teminat mektuplar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garantiler, kefaletler ve taahh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tler.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e) Kredi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veya finansal kurulu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lara depo edilen operasyonel mevduat/kat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 fonu.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f) TMS uyar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nca finansal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olarak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fland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lmayan varl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nakit giri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leri.</w:t>
      </w:r>
    </w:p>
    <w:p w:rsidR="0093339D" w:rsidRPr="0093339D" w:rsidRDefault="0093339D" w:rsidP="0093339D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kin Raporlama ve</w:t>
      </w:r>
    </w:p>
    <w:p w:rsidR="0093339D" w:rsidRPr="0093339D" w:rsidRDefault="0093339D" w:rsidP="0093339D">
      <w:pPr>
        <w:spacing w:after="11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Oransal 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rlara Uyumsuzluk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kin raporlama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Konsolide olmayan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Ek-1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 ile konsolide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 Kurulca belirlenecek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Oransal s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rlara uyumsuzluk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(1)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maddenin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belirtilen oranlardan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halinde, bankalar bunun nedenlerini,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 konusu durumun giderilmesine ili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kin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planlanan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nlemler ile birlikte Ek-1 ve Ek-2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de yer alan cetvelin Kuruma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nderilme 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 bildirmek zorundad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(2) Konsolide olmayan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abilecek uyumsuzlu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un takip eden iki hafta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inde giderilmesi zorunludur. Bir takvim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konsolide olmayan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, giderilen uyumsuzluk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alt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defadan fazla uyumsuz olamaz.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sz w:val="18"/>
          <w:szCs w:val="18"/>
        </w:rPr>
        <w:t>(3) Bir takvim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erisinde konsolide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arka arkaya iki kez uyumsuzluk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tirilemez, giderilen uyumsuzluk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hil iki defadan fazla uyumsuzluk ger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tirilemez.</w:t>
      </w:r>
    </w:p>
    <w:p w:rsidR="0093339D" w:rsidRPr="0093339D" w:rsidRDefault="0093339D" w:rsidP="0093339D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93339D" w:rsidRPr="0093339D" w:rsidRDefault="0093339D" w:rsidP="0093339D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kin uygulama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1/1/2019 tarihine kadar uygulanacak toplam ve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narak Kurul taraf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ndan belirlenir.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Konsolide toplam ve yabanc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lama oranlar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 hesaplanma 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ntemine ili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kin uygulama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ve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konsolide toplam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konsolide yabanc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para likidite kar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lama oran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1/1/2017 tarihine kadar ay sonlar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yla hesaplan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Raporlama ba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lang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ıç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tarihi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in 31 inci maddesi kapsam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nda Kuruma yap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lacak raporlama 1/4/2014 tarihinde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ile 32 nci maddesi 1/1/2015 tarihinde, di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mleri 1/1/2014 tarihinden itibaren ge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93339D" w:rsidRPr="0093339D" w:rsidRDefault="0093339D" w:rsidP="0093339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93339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93339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93339D" w:rsidRPr="0093339D" w:rsidRDefault="0093339D" w:rsidP="009333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tbl>
      <w:tblPr>
        <w:tblW w:w="8748" w:type="dxa"/>
        <w:jc w:val="center"/>
        <w:tblCellMar>
          <w:left w:w="70" w:type="dxa"/>
          <w:right w:w="70" w:type="dxa"/>
        </w:tblCellMar>
        <w:tblLook w:val="04A0"/>
      </w:tblPr>
      <w:tblGrid>
        <w:gridCol w:w="441"/>
        <w:gridCol w:w="3168"/>
        <w:gridCol w:w="430"/>
        <w:gridCol w:w="430"/>
        <w:gridCol w:w="429"/>
        <w:gridCol w:w="455"/>
        <w:gridCol w:w="429"/>
        <w:gridCol w:w="455"/>
        <w:gridCol w:w="429"/>
        <w:gridCol w:w="455"/>
        <w:gridCol w:w="429"/>
        <w:gridCol w:w="455"/>
        <w:gridCol w:w="429"/>
        <w:gridCol w:w="455"/>
      </w:tblGrid>
      <w:tr w:rsidR="0093339D" w:rsidRPr="0093339D">
        <w:trPr>
          <w:trHeight w:val="20"/>
          <w:jc w:val="center"/>
        </w:trPr>
        <w:tc>
          <w:tcPr>
            <w:tcW w:w="430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EK:1 </w:t>
            </w:r>
          </w:p>
        </w:tc>
        <w:tc>
          <w:tcPr>
            <w:tcW w:w="859" w:type="dxa"/>
            <w:gridSpan w:val="2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BİN TL</w:t>
            </w: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bottom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color w:val="000000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318" w:type="dxa"/>
            <w:gridSpan w:val="13"/>
            <w:vMerge w:val="restart"/>
            <w:vAlign w:val="center"/>
            <w:hideMark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KONSOLİDE OLMAYAN LİKİDİTE KARŞILAMA ORANI BİLDİRİM CETVELİ</w:t>
            </w:r>
          </w:p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………………………………………………………………………….A.Ş./T.A.Ş.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0" w:type="auto"/>
            <w:gridSpan w:val="13"/>
            <w:vMerge/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Hesaplama Tarihi:</w:t>
            </w: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YÜKSEK KALİTELİ LİKİT VARLIKLAR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Dikkate Alınma Oranları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1. İşgünü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2. İşgünü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3. İşgünü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4. İşgünü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5. İşgünü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Birinci Kalite Likit Varlıklar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Nakit Değerler ve TCMB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Kasa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Efektif Deposu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Satın Alınan Çekler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Vadesiz Serbest Hesap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Vadeli Serbest Hesap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Zorunlu Karşılıklar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 Aracılığıyla Bankalararası Para Piyasası Üzerinden Diğer Bankalara Verilen Gecelik Borçlar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%0 Risk Ağırlığına Tekabül Edenler Tarafından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ya da Bunların Garantisiyle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Kamu Kuruluşlarınca ya da Bunların Garantisiyle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Uluslararası Ödemeler Bankası, Uluslararası Para Fonu, Avrupa Birliği, Avrupa Merkez Bankası ya da Çok Taraflı Kalkınma Bankalarınca ya da Bunların Garantisiyle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%0 Risk Ağırlığına Tekabül Etmeyenler Tarafından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 veya TCMB veya 4749 sayılı Kamu Finansmanı ve Borç Yönetiminin Düzenlenmesi Hakkında Kanun Kapsamında Kurulan Varlık Kiralama Şirketlerince Türk Lirası Cinsinden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 veya TCMB veya 4749 sayılı Kamu Finansmanı ve Borç Yönetiminin Düzenlenmesi Hakkında Kanun Kapsamında Kurulan Varlık Kiralama Şirketlerince Yabancı Para Cinsinden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Tarafından Ulusal Para Birimleri Cinsinden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Yurtdışı Şubelerin Bulunduğu Ülke Merkezi Yönetimleri, Merkez Bankaları Tarafından İhraç Edilenler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Tarafından Ulusal Para Birimi Dışındaki Bir Para Birimi Cinsinden İhraç Edilen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3.4.1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Yurtdışı Şubelerin Bulunduğu Ülke Merkezi Yönetimleri, Merkez Bankaları Tarafından İhraç Edilenler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Birinci Kalite Likit Varlıklara İlişkin Düzeltme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Birinci Kalite Likit Varlıklar (A±A.1)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İkinci Kalite Likit Varlıklar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2A Kalite Likit Varlıklar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%20 Risk Ağırlığı Tekabül Edenler Tarafından İhraç Edilen Borçlanma Araçları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Ülke Merkezi Yönetimleri, Merkez Bankaları ya da Bunların Garantisiyle İhraç Edilen Borçlanma Araçları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Kamu Kuruluşları ya da Bunların Garantisiyle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Çok Taraflı Kalkınma Bankalarınca ya da Bunların Garantisiyle İhraç Edilen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II.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Derecelendirme Notu veya Temerrüt Olasılığı AA- veya Daha Yüksek ya da Buna Eşdeğer Olan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 İpotek Teminatlı Menkul Kıymetler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 Diğer Borçlanma Araçları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2A Kalite Likit Varlıklara İlişkin Düzeltme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2A Kalite Likit Varlıklar (B1±B.1.1)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İpoteğine Dayalı Menkul Kıymetler</w:t>
            </w:r>
          </w:p>
        </w:tc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Kredi Derecelendirme Notu veya Temerrüt Olasılığı  A+ ile BBB- </w:t>
            </w: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Arasında Borçlanma Araçları ya da Buna Eşdeğer Olan Borçlanma Araçları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III.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Hisse Senetleri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Varlıklara İlişkin Düzeltme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2B Kalite Likit Varlıklar (B2±B.2.1)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C.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Yüksek Kaliteli Likit Varlık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Varlıklara Uygulanan Üst Sınır Aşım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E.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İkinci Kalite Likit Varlıklara Uygulanan Üst Sınır Aşım Tutarı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F.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Yüksek Kaliteli Likit Varlık Stoku (A+B1+B2-D-E)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NAKİT ÇIKIŞLARI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Çıkış Oranı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Gerçek Kişi Müşterilere Teminatsız Borçlar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İstikrarlı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Düşük İstikrarlı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Bankaca İhraç Edilen Teminatsız Borçlanma Araçları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Perakende Müşterilere Teminatsız  Borçlar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İstikrarlı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Düşük İstikrarlı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Bankaca İhraç Edilen Teminatsız Borçlanma Araçları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Kişilere 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Kuruluşu veya Finansal Kuruluş Dışındaki Kuruluşlara 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Fonunca Sigortalananlar (İstikrarlı)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 Kapsamı Dışında (Düşük 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Sigortalananlar (İstikrarlı)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Sigortalanmayanlar (Düşük 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Merkezi Yönetimler, Merkez Bankaları, Çok Taraflı Kalkınma Bankaları ve Kamu Kurumlarına Teminatsız Borçlar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Fonunca Sigortalananlar (İstikrarlı)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 Kapsamı Dışında (Düşük 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Sigortalananlar (İstikrarlı)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Sigortalanmayanlar (Düşük İstikrarlı)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Bankalara 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Kuruluşlara 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Teminatsız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Bankaca İhraç Edilen Gerçek Kişiler veya Perakende Müşteriler Dışındakilerce Alınan Teminatsız Borçlanma Araçları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TCMB'ye Yatırılacak İlave Zorunlu Karşılıklar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1.4.3.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Teminatlı Borçlar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TCMB'ye Teminatlı Borçlar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Müsteşarlığına, Türkiye'deki Kamu Kuruluşlarına veya Çok Taraflı Kalkınma Bankalarına Teminatlı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2B Kalite Likit Varlıkların 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Kişilere Teminatlı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2B Kalite Likit Varlıkların 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İpoteğine Dayalı Menkul Kıymetlerin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Teminatıyla Sağlanan Fonlar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III.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Yapılandırılmış Finansal Araçlardan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Doğrudan Banka Tarafından İhraç edilen Yapılandırılmış Finansal Araçlardan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Varlığa Dayalı Menkul Kıymetler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İpotek Teminatlı Menkul Kıymetler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Yapılandırılmış Finansal Araçlardan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Özel Amaçlı Kuruluşlar Aracılığı ile İhraç Edilen Yapılandırılmış Finansal Araçlardan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IV.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Bilanço Dışı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Türev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Bankanın Kredi Derecesinin Düşmesine Bağlı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Verilen Teminatların Gerçeğe Uygun Değerlerinde Değişiklik Olması İhtimaline Bağlı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Niteliğinde Olması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Niteliğinde Olmaması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4.4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Alınan Teminatların Karşı Tarafça Her An Geri İstenebilme İhtimaline Bağlı Yükümlülükler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Teminatların Karşı Tarafa Verilme Tarihinin Gelmesinden Kaynaklanan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Alınan Teminatlardan Yüksek Kaliteli Likit Varlık Olanların Bu Türden Olmayan Teminatlarla Değiştirilme İhtimaline Bağlı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Türev İşlemler ve Diğer Yükümlülüklerin Gerçeğe Uygun Değerlerinde Değişiklik Olması İhtimaline Bağlı Yükümlülükler 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Cayılamaz veya Şarta Bağlı Olarak Cayılabilir Diğer Bilanço Dışı Borçlar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Gerçek Kişilere ve KOBİ'lere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Mali Olmayan Kuruluşlar, Merkezi Yönetimler, Merkez Bankaları, Kamu Kuruluşları ve Çok Taraflı Kalkınma Bankalarının Finansal Piyasalara Olan Borçları İçin Verilen Ödeme Taahhütleri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Mali Olmayan Kuruluşlar, Merkezi Yönetimler, Merkez Bankaları, Kamu Kuruluşları ve Çok Taraflı Kalkınma Bankalarına Diğer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Bankalara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 Dışındaki Finansal Kuruluşların Finansal Piyasalara Olan Borçlarına Verilen Ödeme Taahhütleri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 Dışındaki Finansal Kuruluşlara Diğer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Kuruluşlara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Müşterinin Açığa Satış İşleminden Kaynaklanan Pozisyonunun Başka Bir Müşterinin Yüksek Kaliteli Likit Varlık Niteliğinde Olmayan Teminatı ile Karşılanmasından Doğan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Bankanın Açığa Satış İşleminden Kaynaklanan Pozisyonunun Menkul Kıymet Ödünç Piyasası Dışından Sağlanan Menkul Kıymetle Karşılanmasından Doğan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Herhangi Bir Şarta Bağlı Olmaksızın Cayılabilir Bilanço Dışı Diğer Yükümlülükler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H.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NAKİT GİRİŞLERİ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Giriş Oranı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Ters Repo İşlemleri, Menkul Kıymet Ödünç Alma İşlemleri, Kredili Menkul Kıymet İşlemleri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İşlemlerinden Kaynaklanan Pozisyonu Kapatmada Kullanılmayan Teminatlı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Olduğu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2A Kalite Likit Varlık Olduğu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2B Kalite Likit Varlık Olduğu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Konut Finansmanından Kaynaklanan İpoteğe Dayalı Menkul Kıymet Olduğu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Diğer 2B Kalite Likit Varlık Olduğu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Yüksek Kaliteli Likit Varlık Olmadığı Kredili Menkul Kıymet İşlemleri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Yüksek Kaliteli Likit Varlık Olmadığı Diğer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 Açığa Satış İşlemlerinden Kaynaklanan Pozisyonu Kapatmada Kullanılan Teminatlı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Karşı Taraf Türüne Göre Nakit Girişleri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Gerçek Kişiler ve KOBİ'ler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Finansal Olmayan Kurumsal Kuruluşlar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Merkezi Yönetimler, Çok Taraflı Kalkınma Bankaları, Kamu Kurumları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Merkez Bankaları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Finansal Kuruluşlar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Alacaklar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III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Diğer Nakit Girişleri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Türev İşlemlerden Kaynaklanan Nakit Girişleri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Menkul Kıymetlerden Kaynaklanan Nakit Girişleri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İşlemlerden Kaynaklanan Nakit Girişleri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 Swapları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Çıkış Oranı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Giriş Oranı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İşleminden Kaynaklanan Pozisyonu Kapatmada Kullanılmayanlar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2B Kalite Likit 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Diğer 2B Kalite Likit Varlık Verilip Karşılığında  Birinci Kalite Likit </w:t>
            </w: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4.1.17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İşleminden Kaynaklanan Pozisyonu Kapatmada Kullanılanlar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4.2.19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Birinci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2A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 Konut Finansmanından Kaynaklanan İpoteğe Dayalı Menkul Kıymet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Diğer 2B Kalite Likit Varlık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Diğer Varlıkların Alınması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31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3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K.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Nakit Girişi Üst Sınırı (%75*G)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L.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Üst Sınır Uygulanmış Toplam Nakit Girişleri (Min (K;H))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M.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Net Nakit Çıkışları (G-L)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Günlük Yabancı Para Likidite Karşılama Oranı (F/M)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O.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Günlük Toplam Likidite Karşılama Oranı (F/M)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P.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Yabancı Para Likidite Karşılama Oranı (∑N/5)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R.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Toplam Likidite Karşılama Oranı (∑O/5)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429" w:type="dxa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429" w:type="dxa"/>
          </w:tcPr>
          <w:p w:rsidR="0093339D" w:rsidRPr="0093339D" w:rsidRDefault="0093339D" w:rsidP="0093339D">
            <w:pPr>
              <w:spacing w:after="0" w:line="240" w:lineRule="exact"/>
              <w:jc w:val="center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</w:tr>
    </w:tbl>
    <w:p w:rsidR="0093339D" w:rsidRPr="0093339D" w:rsidRDefault="0093339D" w:rsidP="009333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690"/>
        <w:gridCol w:w="5543"/>
        <w:gridCol w:w="686"/>
        <w:gridCol w:w="480"/>
        <w:gridCol w:w="555"/>
        <w:gridCol w:w="326"/>
        <w:gridCol w:w="225"/>
      </w:tblGrid>
      <w:tr w:rsidR="0093339D" w:rsidRPr="0093339D">
        <w:trPr>
          <w:trHeight w:val="489"/>
          <w:jc w:val="center"/>
        </w:trPr>
        <w:tc>
          <w:tcPr>
            <w:tcW w:w="8298" w:type="dxa"/>
            <w:gridSpan w:val="7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40" w:lineRule="exact"/>
              <w:jc w:val="right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EK:2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KONSOLİDE LİKİDİTE KARŞILAMA ORANI BİLDİRİM CETVELİ</w:t>
            </w: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21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………………………………………………………………………….A.Ş./T.A.Ş.</w:t>
            </w: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21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21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Hesaplama Tarihi:</w:t>
            </w: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21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863" w:type="dxa"/>
            <w:gridSpan w:val="2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21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YÜKSEK KALİTELİ LİKİT VARLIKLAR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Dikkate Alınma Oranları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Toplam (Bin TL)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Birinci Kalite Likit Varlıklar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YP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TP+YP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Nakit Değerler ve TCMB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Kasa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Efektif Deposu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Satın Alınan Çekler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Vadesiz Serbest Hesap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Vadeli Serbest Hesap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Zorunlu Karşılıklar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 Aracılığıyla Bankalararası Para Piyasası Üzerinden Diğer Bankalara Verilen Gecelik Borçlar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%0 Risk Ağırlığına Tekabül Edenler Tarafından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ya da Bunların Garantisiyle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Kamu Kuruluşlarınca ya da Bunların Garantisiyle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Uluslararası Ödemeler Bankası, Uluslararası Para Fonu, Avrupa Birliği, Avrupa Merkez Bankası ya da Çok Taraflı Kalkınma Bankalarınca ya da Bunların Garantisiyle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%0 Risk Ağırlığına Tekabül Etmeyenler Tarafından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 veya TCMB veya 4749 sayılı Kamu Finansmanı ve Borç Yönetiminin Düzenlenmesi Hakkında Kanun Kapsamında Kurulan Varlık Kiralama Şirketlerince Türk Lirası Cinsinden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 veya TCMB veya 4749 sayılı Kamu Finansmanı ve Borç Yönetiminin Düzenlenmesi Hakkında Kanun Kapsamında Kurulan Varlık Kiralama Şirketlerince Yabancı Para Cinsinden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Tarafından Ulusal Para Birimleri Cinsinden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Yurtdışı Şubelerin Bulunduğu Ülke Merkezi Yönetimleri, Merkez Bankaları Tarafından İhraç Edilenler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Konsolide Edilen Yurtdışında Yerleşik Kredi Kuruluşları ve Finansal Kuruluşların Bulunduğu Ülke Merkezi Yönetimleri, Merkez Bankaları Tarafından İhraç Edilenler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Ülke Merkezi Yönetimleri, Merkez Bankaları Tarafından Ulusal Para Birimi Dışındaki Bir Para Birimi Cinsinden İhraç Edilen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3.4.1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Yurtdışı Şubelerin Bulunduğu Ülke Merkezi Yönetimleri, Merkez Bankaları Tarafından İhraç Edilenler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3.4.2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Konsolide Edilen Yurtdışında Yerleşik Kredi Kuruluşları ve Finansal Kuruluşların Bulunduğu Ülke Merkezi Yönetimleri, Merkez Bankaları Tarafından İhraç Edilenler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Birinci Kalite Likit Varlıklara İlişkin Düzeltme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A.2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Birinci Kalite Likit Varlıklar (A±A.1)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İkinci Kalite Likit Varlıklar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2A Kalite Likit Varlıklar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Kalitesi Kademesi %20 Risk Ağırlığı Tekabül Edenler Tarafından İhraç Edilen Borçlanma Araçları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Ülke Merkezi Yönetimleri, Merkez Bankaları ya da Bunların Garantisiyle İhraç Edilen Borçlanma Araçları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Kamu Kuruluşları ya da Bunların Garantisiyle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Çok Taraflı Kalkınma Bankalarınca ya da Bunların Garantisiyle İhraç Edilen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II. 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Derecelendirme Notu veya Temerrüt Olasılığı AA- veya Daha Yüksek ya da Buna Eşdeğer Olan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 İpotek Teminatlı Menkul Kıymetler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 Diğer Borçlanma Araçları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2A Kalite Likit Varlıklara İlişkin Düzeltme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2A Kalite Likit Varlıklar (B1±B.1.1)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İpoteğine Dayalı Menkul Kıymetler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Derecelendirme Notu veya Temerrüt Olasılığı  A+ ile BBB- Arasında Borçlanma Araçları ya da Buna Eşdeğer Olan Borçlanma Araçları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III.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Hisse Senetleri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Varlıklara İlişkin Düzeltme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B.2.2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2B Kalite Likit Varlıklar (B2±B.2.1)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C.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Düzeltilmiş Yüksek Kaliteli Likit Varlık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2B Kalite Likit Varlıklara Uygulanan Üst Sınır Aşım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E.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İkinci Kalite Likit Varlıklara Uygulanan Üst Sınır Aşım Tutarı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F.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Yüksek Kaliteli Likit Varlık Stoku (A+B1+B2-D-E)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NAKİT ÇIKIŞLARI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Çıkış Oranı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Gerçek Kişi Müşterilere Teminatsız Borçlar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İstikrarlı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Düşük İstikrarlı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Bankaca İhraç Edilen Teminatsız Borçlanma Araçları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Perakende Müşterilere Teminatsız  Borçlar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İstikrarlı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Düşük İstikrarlı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Bankaca İhraç Edilen Teminatsız Borçlanma Araçları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Kişilere 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Kredi Kuruluşu veya Finansal Kuruluş Dışındaki Kuruluşlara 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Fonunca Sigortalananlar (İstikrarlı)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 Kapsamı Dışında (Düşük 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Sigortalananlar (İstikrarlı)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Sigortalanmayanlar (Düşük 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1.3.1.5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Merkezi Yönetimler, Merkez Bankaları, Çok Taraflı Kalkınma Bankaları ve Kamu Kurumlarına Teminatsız Borçlar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Fonunca Sigortalananlar (İstikrarlı)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 Tasarruf Mevduatı Sigorta Fonu Kapsamı Dışında (Düşük 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Sigortalananlar (İstikrarlı)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Fonundan Tasarruf Mevduatı Sigorta Fonunca Sigortalanmayanlar (Düşük İstikrarlı)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1.3.2.5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Bankalara 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1.3.3.3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Kuruluşlara 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Olmayan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1.3.4.3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Teminatsız Diğer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Teminatsız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1.4.1.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Bankaca İhraç Edilen Gerçek Kişiler veya Perakende Müşteriler Dışındakilerce Alınan Teminatsız Borçlanma Araçları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1.4.2.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TCMB'ye Yatırılacak İlave Zorunlu Karşılıklar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1.4.3.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Teminatlı Borçlar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TCMB'ye Teminatlı Borçlar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T.C. Hazine Müsteşarlığına, Türkiye'deki Kamu Kuruluşlarına veya Çok Taraflı Kalkınma Bankalarına Teminatlı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2.2.1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2B Kalite Likit Varlıkların 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Kişilere Teminatlı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2B Kalite Likit Varlıkların 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İpoteğine Dayalı Menkul Kıymetlerin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Teminatıyla Sağlanan Fonlar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III.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Yapılandırılmış Finansal Araçlardan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Doğrudan Banka Tarafından İhraç edilen Yapılandırılmış Finansal Araçlardan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Varlığa Dayalı Menkul Kıymetler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İpotek Teminatlı Menkul Kıymetler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Yapılandırılmış Finansal Araçlardan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Özel Amaçlı Kuruluşlar Aracılığı ile İhraç Edilen Yapılandırılmış Finansal Araçlardan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IV.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Bilanço Dışı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Türev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Bankanın Kredi Derecesinin Düşmesine Bağlı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Verilen Teminatların Gerçeğe Uygun Değerlerinde Değişiklik Olması İhtimaline Bağlı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Niteliğinde Olması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Niteliğinde Olmaması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Alınan Teminatların Karşı Tarafça Her An Geri İstenebilme İhtimaline Bağlı Yükümlülükler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Teminatların Karşı Tarafa Verilme Tarihinin Gelmesinden Kaynaklanan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Alınan Teminatlardan Yüksek Kaliteli Likit Varlık Olanların Bu Türden Olmayan Teminatlarla Değiştirilme İhtimaline Bağlı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 xml:space="preserve">Türev İşlemler ve Diğer Yükümlülüklerin Gerçeğe Uygun Değerlerinde Değişiklik Olması İhtimaline Bağlı Yükümlülükler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Cayılamaz veya Şarta Bağlı Olarak Cayılabilir Diğer Bilanço Dışı Borçlar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Gerçek Kişilere ve KOBİ'lere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Mali Olmayan Kuruluşlar, Merkezi Yönetimler, Merkez Bankaları, Kamu Kuruluşları ve Çok Taraflı Kalkınma Bankalarının Finansal Piyasalara Olan Borçları İçin Verilen Ödeme Taahhütleri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Mali Olmayan Kuruluşlar, Merkezi Yönetimler, Merkez Bankaları, Kamu Kuruluşları ve Çok Taraflı Kalkınma Bankalarına Diğer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Bankalara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 Dışındaki Finansal Kuruluşların Finansal Piyasalara Olan Borçlarına Verilen Ödeme Taahhütleri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 Dışındaki Finansal Kuruluşlara Diğer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Kuruluşlara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Müşterinin Açığa Satış İşleminden Kaynaklanan Pozisyonunun Başka Bir Müşterinin Yüksek Kaliteli Likit Varlık Niteliğinde Olmayan Teminatı ile Karşılanmasından Doğan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4.8.9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Bankanın Açığa Satış İşleminden Kaynaklanan Pozisyonunun Menkul Kıymet Ödünç Piyasası Dışından Sağlanan Menkul Kıymetle Karşılanmasından Doğan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Herhangi Bir Şarta Bağlı Olmaksızın Cayılabilir Bilanço Dışı Diğer Yükümlülükler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H.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NAKİT GİRİŞLERİ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Giriş Oranı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Ters Repo İşlemleri, Menkul Kıymet Ödünç Alma İşlemleri, Kredili Menkul Kıymet İşlemleri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İşlemlerinden Kaynaklanan Pozisyonu Kapatmada Kullanılmayan Teminatlı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Birinci Kalite Likit Varlık Olduğu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2A Kalite Likit Varlık Olduğu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2B Kalite Likit Varlık Olduğu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Konut Finansmanından Kaynaklanan İpoteğe Dayalı Menkul Kıymet Olduğu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Diğer 2B Kalite Likit Varlık Olduğu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Yüksek Kaliteli Likit Varlık Olmadığı Kredili Menkul Kıymet İşlemleri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1.1.5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Teminatın Yüksek Kaliteli Likit Varlık Olmadığı Diğer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 Açığa Satış İşlemlerinden Kaynaklanan Pozisyonu Kapatmada Kullanılan Teminatlı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Karşı Taraf Türüne Göre Nakit Girişleri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Gerçek Kişiler ve KOBİ'ler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Finansal Olmayan Kurumsal Kuruluşlar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Merkezi Yönetimler, Çok Taraflı Kalkınma Bankaları, Kamu Kurumları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Merkez Bankaları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Finansal Kuruluşlar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Operasyonel Mevduat/Katılım Fonu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2.5.2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Alacaklar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III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Diğer Nakit Girişleri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Türev İşlemlerden Kaynaklanan Nakit Girişleri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Menkul Kıymetlerden Kaynaklanan Nakit Girişleri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İşlemlerden Kaynaklanan Nakit Girişleri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İ.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Teminat Swapları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Çıkış Oranı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Giriş Oranı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İşleminden Kaynaklanan Pozisyonu Kapatmada Kullanılmayanlar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4.1.10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2B Kalite Likit 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lastRenderedPageBreak/>
              <w:t>4.1.16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4.1.19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4.1.20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4.1.25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Teminatı Açığa Satış İşleminden Kaynaklanan Pozisyonu Kapatmada Kullanılanlar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Birinci Kalite Likit Varlık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4.2.10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2A Kalite Likit Varlık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Konut Finansmanından Kaynaklanan İpoteğe Dayalı Menkul Kıymet Verilip Karşılığında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4.2.16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4.2.17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35%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4.2.18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25%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4.2.19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4.2.20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2B Kalite Likit Varlık Verilip Karşılığında Diğer 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4.2.21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Birinci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100%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4.2.22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2A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85%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4.2.23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 Konut Finansmanından Kaynaklanan İpoteğe Dayalı Menkul Kıymet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75%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4.2.24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Diğer 2B Kalite Likit Varlık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50%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4.2.25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Diğer Varlıkların Verilip Diğer Varlıkların Alınması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0%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12" w:type="dxa"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b/>
                <w:bCs/>
                <w:sz w:val="2"/>
                <w:szCs w:val="12"/>
                <w:lang w:eastAsia="tr-TR"/>
              </w:rPr>
            </w:pPr>
          </w:p>
        </w:tc>
        <w:tc>
          <w:tcPr>
            <w:tcW w:w="667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471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noWrap/>
            <w:vAlign w:val="center"/>
          </w:tcPr>
          <w:p w:rsidR="0093339D" w:rsidRPr="0093339D" w:rsidRDefault="0093339D" w:rsidP="0093339D">
            <w:pPr>
              <w:spacing w:after="0" w:line="240" w:lineRule="exact"/>
              <w:rPr>
                <w:rFonts w:ascii="Arial Narrow" w:eastAsia="Times New Roman" w:hAnsi="Arial Narrow" w:cs="Times New Roman"/>
                <w:sz w:val="2"/>
                <w:szCs w:val="12"/>
                <w:lang w:eastAsia="tr-T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K.</w:t>
            </w:r>
          </w:p>
        </w:tc>
        <w:tc>
          <w:tcPr>
            <w:tcW w:w="5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Nakit Girişi Üst Sınırı (%75*G)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L.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Üst Sınır Uygulanmış Toplam Nakit Girişleri (Min (K;H))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M.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Net Nakit Çıkışları (G-L)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N.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Yabancı Para Likidite Karşılama Oranı (F/M)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</w:tr>
      <w:tr w:rsidR="0093339D" w:rsidRPr="0093339D">
        <w:trPr>
          <w:trHeight w:val="20"/>
          <w:jc w:val="center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O.</w:t>
            </w:r>
          </w:p>
        </w:tc>
        <w:tc>
          <w:tcPr>
            <w:tcW w:w="5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Toplam Likidite Karşılama Oranı (F/M)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0" w:lineRule="atLeast"/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339D" w:rsidRPr="0093339D" w:rsidRDefault="0093339D" w:rsidP="0093339D">
            <w:pPr>
              <w:spacing w:after="0" w:line="20" w:lineRule="atLeast"/>
              <w:jc w:val="center"/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</w:pPr>
            <w:r w:rsidRPr="0093339D">
              <w:rPr>
                <w:rFonts w:ascii="Arial Narrow" w:eastAsia="Times New Roman" w:hAnsi="Arial Narrow" w:cs="Times New Roman"/>
                <w:b/>
                <w:bCs/>
                <w:sz w:val="12"/>
                <w:szCs w:val="12"/>
                <w:lang w:eastAsia="tr-TR"/>
              </w:rPr>
              <w:t>%</w:t>
            </w:r>
          </w:p>
        </w:tc>
      </w:tr>
      <w:tr w:rsidR="0093339D" w:rsidRPr="0093339D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9D" w:rsidRPr="0093339D" w:rsidRDefault="0093339D" w:rsidP="0093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93339D" w:rsidRPr="0093339D" w:rsidRDefault="0093339D" w:rsidP="009333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93339D" w:rsidRPr="0093339D" w:rsidRDefault="0093339D" w:rsidP="0093339D">
      <w:pPr>
        <w:tabs>
          <w:tab w:val="center" w:pos="4536"/>
          <w:tab w:val="right" w:pos="9072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EK:3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Yüksek kaliteli likit varlık stokunun hesaplamasında aşağıdaki formüller kullanılır</w:t>
      </w:r>
      <w:bookmarkStart w:id="0" w:name="_GoBack"/>
      <w:bookmarkEnd w:id="0"/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>.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(a) </w:t>
      </w: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 xml:space="preserve">2B Kalite Likit Varlıklar için %15 Üst Sınır Aşım Tutarı = 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>Maksimum [Düzeltilmiş 2B Kalite Likit Varlıklar – 15/85 x (Düzeltilmiş Birinci Kalite Likit Varlıklar +  Düzeltilmiş 2A Kalite Likit Varlıklar), Düzeltilmiş 2B Kalite Likit Varlıklar – 15/60 x Düzeltilmiş Birinci Kalite Likit Varlıklar, 0]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(b) </w:t>
      </w: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 xml:space="preserve">İkinci Kalite Likit Varlıklar İçin %40 Üst Sınır Aşım Tutarı = 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>Maksimum [Düzeltilmiş 2A Kalite Likit Varlıklar + Düzeltilmiş 2B Kalite Likit Varlıklar – 2B Kalite Likit Varlıklar İçin %15 Üst Sınır Aşım Tutarı – 2/3 x Düzeltilmiş Birinci Kalite Likit Varlıklar, 0]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 xml:space="preserve">(c) </w:t>
      </w: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 xml:space="preserve">Yüksek Kaliteli Likit Varlık Stoku = </w:t>
      </w:r>
    </w:p>
    <w:p w:rsidR="0093339D" w:rsidRPr="0093339D" w:rsidRDefault="0093339D" w:rsidP="0093339D">
      <w:pPr>
        <w:autoSpaceDE w:val="0"/>
        <w:autoSpaceDN w:val="0"/>
        <w:adjustRightInd w:val="0"/>
        <w:spacing w:after="0" w:line="240" w:lineRule="exact"/>
        <w:ind w:left="378" w:hanging="37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</w:pPr>
      <w:r w:rsidRPr="0093339D">
        <w:rPr>
          <w:rFonts w:ascii="Times New Roman" w:eastAsia="Times New Roman" w:hAnsi="Times New Roman" w:cs="Times New Roman"/>
          <w:color w:val="000000"/>
          <w:sz w:val="18"/>
          <w:szCs w:val="18"/>
          <w:lang w:eastAsia="zh-CN"/>
        </w:rPr>
        <w:tab/>
        <w:t>Birinci Kalite Likit Varlıklar + 2A Kalite Likit Varlıklar + 2B Kalite Likit Varlıklar – 2B Kalite Likit Varlıklar için %15 Üst Sınır Aşım Tutarı – İkinci Kalite Likit Varlıklar İçin %40 Üst Sınır Aşım Tutarı</w:t>
      </w:r>
    </w:p>
    <w:p w:rsidR="0093339D" w:rsidRDefault="0093339D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3339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98" w:rsidRDefault="00205D98" w:rsidP="00CE6B7C">
      <w:pPr>
        <w:spacing w:after="0" w:line="240" w:lineRule="auto"/>
      </w:pPr>
      <w:r>
        <w:separator/>
      </w:r>
    </w:p>
  </w:endnote>
  <w:endnote w:type="continuationSeparator" w:id="0">
    <w:p w:rsidR="00205D98" w:rsidRDefault="00205D9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03E2E">
        <w:pPr>
          <w:pStyle w:val="Altbilgi"/>
          <w:jc w:val="center"/>
        </w:pPr>
        <w:fldSimple w:instr=" PAGE   \* MERGEFORMAT ">
          <w:r w:rsidR="0093339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98" w:rsidRDefault="00205D98" w:rsidP="00CE6B7C">
      <w:pPr>
        <w:spacing w:after="0" w:line="240" w:lineRule="auto"/>
      </w:pPr>
      <w:r>
        <w:separator/>
      </w:r>
    </w:p>
  </w:footnote>
  <w:footnote w:type="continuationSeparator" w:id="0">
    <w:p w:rsidR="00205D98" w:rsidRDefault="00205D9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5D98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3E2E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39D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uiPriority w:val="99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4">
    <w:name w:val="xl64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5">
    <w:name w:val="xl65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6">
    <w:name w:val="xl66"/>
    <w:basedOn w:val="Normal"/>
    <w:rsid w:val="00933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xl67">
    <w:name w:val="xl67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69">
    <w:name w:val="xl69"/>
    <w:basedOn w:val="Normal"/>
    <w:rsid w:val="0093339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1">
    <w:name w:val="xl71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2">
    <w:name w:val="xl72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74">
    <w:name w:val="xl74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5">
    <w:name w:val="xl75"/>
    <w:basedOn w:val="Normal"/>
    <w:rsid w:val="0093339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6">
    <w:name w:val="xl76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7">
    <w:name w:val="xl77"/>
    <w:basedOn w:val="Normal"/>
    <w:rsid w:val="0093339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8">
    <w:name w:val="xl78"/>
    <w:basedOn w:val="Normal"/>
    <w:rsid w:val="009333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9">
    <w:name w:val="xl79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0">
    <w:name w:val="xl8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1">
    <w:name w:val="xl81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2">
    <w:name w:val="xl82"/>
    <w:basedOn w:val="Normal"/>
    <w:rsid w:val="0093339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4">
    <w:name w:val="xl84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5">
    <w:name w:val="xl85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6">
    <w:name w:val="xl86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7">
    <w:name w:val="xl87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88">
    <w:name w:val="xl88"/>
    <w:basedOn w:val="Normal"/>
    <w:rsid w:val="0093339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9">
    <w:name w:val="xl89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0">
    <w:name w:val="xl9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2">
    <w:name w:val="xl92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3">
    <w:name w:val="xl93"/>
    <w:basedOn w:val="Normal"/>
    <w:rsid w:val="0093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4">
    <w:name w:val="xl94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5">
    <w:name w:val="xl95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6">
    <w:name w:val="xl96"/>
    <w:basedOn w:val="Normal"/>
    <w:rsid w:val="00933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7">
    <w:name w:val="xl97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8">
    <w:name w:val="xl98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9">
    <w:name w:val="xl99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00">
    <w:name w:val="xl10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1">
    <w:name w:val="xl101"/>
    <w:basedOn w:val="Normal"/>
    <w:rsid w:val="00933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02">
    <w:name w:val="xl102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03">
    <w:name w:val="xl103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04">
    <w:name w:val="xl104"/>
    <w:basedOn w:val="Normal"/>
    <w:rsid w:val="0093339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5">
    <w:name w:val="xl105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06">
    <w:name w:val="xl106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7">
    <w:name w:val="xl107"/>
    <w:basedOn w:val="Normal"/>
    <w:rsid w:val="0093339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08">
    <w:name w:val="xl108"/>
    <w:basedOn w:val="Normal"/>
    <w:rsid w:val="0093339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9">
    <w:name w:val="xl109"/>
    <w:basedOn w:val="Normal"/>
    <w:rsid w:val="00933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0">
    <w:name w:val="xl11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1">
    <w:name w:val="xl111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2">
    <w:name w:val="xl112"/>
    <w:basedOn w:val="Normal"/>
    <w:rsid w:val="0093339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3">
    <w:name w:val="xl113"/>
    <w:basedOn w:val="Normal"/>
    <w:rsid w:val="0093339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14">
    <w:name w:val="xl114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5">
    <w:name w:val="xl115"/>
    <w:basedOn w:val="Normal"/>
    <w:rsid w:val="0093339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6">
    <w:name w:val="xl116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7">
    <w:name w:val="xl117"/>
    <w:basedOn w:val="Normal"/>
    <w:rsid w:val="00933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18">
    <w:name w:val="xl118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9">
    <w:name w:val="xl119"/>
    <w:basedOn w:val="Normal"/>
    <w:rsid w:val="0093339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0">
    <w:name w:val="xl120"/>
    <w:basedOn w:val="Normal"/>
    <w:rsid w:val="0093339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21">
    <w:name w:val="xl121"/>
    <w:basedOn w:val="Normal"/>
    <w:rsid w:val="00933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122">
    <w:name w:val="xl122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3">
    <w:name w:val="xl123"/>
    <w:basedOn w:val="Normal"/>
    <w:rsid w:val="0093339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4">
    <w:name w:val="xl124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5">
    <w:name w:val="xl125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6">
    <w:name w:val="xl126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27">
    <w:name w:val="xl127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8">
    <w:name w:val="xl128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29">
    <w:name w:val="xl129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30">
    <w:name w:val="xl130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31">
    <w:name w:val="xl131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32">
    <w:name w:val="xl132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33">
    <w:name w:val="xl133"/>
    <w:basedOn w:val="Normal"/>
    <w:rsid w:val="0093339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34">
    <w:name w:val="xl134"/>
    <w:basedOn w:val="Normal"/>
    <w:rsid w:val="009333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35">
    <w:name w:val="xl135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6">
    <w:name w:val="xl136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7">
    <w:name w:val="xl137"/>
    <w:basedOn w:val="Normal"/>
    <w:rsid w:val="0093339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8">
    <w:name w:val="xl138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9">
    <w:name w:val="xl139"/>
    <w:basedOn w:val="Normal"/>
    <w:rsid w:val="009333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0">
    <w:name w:val="xl140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41">
    <w:name w:val="xl141"/>
    <w:basedOn w:val="Normal"/>
    <w:rsid w:val="009333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42">
    <w:name w:val="xl142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43">
    <w:name w:val="xl143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4">
    <w:name w:val="xl144"/>
    <w:basedOn w:val="Normal"/>
    <w:rsid w:val="00933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45">
    <w:name w:val="xl145"/>
    <w:basedOn w:val="Normal"/>
    <w:rsid w:val="00933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46">
    <w:name w:val="xl146"/>
    <w:basedOn w:val="Normal"/>
    <w:rsid w:val="009333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7">
    <w:name w:val="xl147"/>
    <w:basedOn w:val="Normal"/>
    <w:rsid w:val="009333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8">
    <w:name w:val="xl148"/>
    <w:basedOn w:val="Normal"/>
    <w:rsid w:val="0093339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9">
    <w:name w:val="xl149"/>
    <w:basedOn w:val="Normal"/>
    <w:rsid w:val="009333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11993</Words>
  <Characters>68364</Characters>
  <Application>Microsoft Office Word</Application>
  <DocSecurity>0</DocSecurity>
  <Lines>569</Lines>
  <Paragraphs>160</Paragraphs>
  <ScaleCrop>false</ScaleCrop>
  <Company>TURMOB</Company>
  <LinksUpToDate>false</LinksUpToDate>
  <CharactersWithSpaces>80197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775</cp:revision>
  <cp:lastPrinted>2013-12-13T06:43:00Z</cp:lastPrinted>
  <dcterms:created xsi:type="dcterms:W3CDTF">2013-06-03T05:31:00Z</dcterms:created>
  <dcterms:modified xsi:type="dcterms:W3CDTF">2014-03-21T06:38:00Z</dcterms:modified>
</cp:coreProperties>
</file>