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E406AD" w:rsidRDefault="00647A8D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2541C0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E406AD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E406AD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E406AD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E406A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E406A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28953</w:t>
      </w:r>
      <w:proofErr w:type="gramEnd"/>
    </w:p>
    <w:p w:rsidR="00D51AB9" w:rsidRDefault="00D51AB9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47A8D" w:rsidRDefault="00647A8D" w:rsidP="00647A8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ve Ticaret,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Maliye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ndan:</w:t>
      </w:r>
    </w:p>
    <w:p w:rsidR="00647A8D" w:rsidRDefault="00647A8D" w:rsidP="00647A8D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647A8D" w:rsidRDefault="00647A8D" w:rsidP="00647A8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5607 SAYILI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ILIKLA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ELKONULAN</w:t>
      </w:r>
    </w:p>
    <w:p w:rsidR="00647A8D" w:rsidRDefault="00647A8D" w:rsidP="00647A8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AKARYAKITIN TESL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, MUHAFAZASI, TASF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VE YAPILAN</w:t>
      </w:r>
    </w:p>
    <w:p w:rsidR="00647A8D" w:rsidRDefault="00647A8D" w:rsidP="00647A8D">
      <w:pPr>
        <w:pStyle w:val="2-OrtaBaslk"/>
        <w:spacing w:after="283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MASRAFLARA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UYGULAMA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647A8D" w:rsidRDefault="00647A8D" w:rsidP="00647A8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47A8D" w:rsidRDefault="00647A8D" w:rsidP="00647A8D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21/3/2007</w:t>
      </w:r>
      <w:proofErr w:type="gramEnd"/>
      <w:r>
        <w:rPr>
          <w:sz w:val="18"/>
          <w:szCs w:val="18"/>
        </w:rPr>
        <w:t xml:space="preserve"> tarihli ve 5607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Kanunu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nakliyesi ve tasfiyesi ile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giderlerin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4/12/2003</w:t>
      </w:r>
      <w:proofErr w:type="gramEnd"/>
      <w:r>
        <w:rPr>
          <w:sz w:val="18"/>
          <w:szCs w:val="18"/>
        </w:rPr>
        <w:t xml:space="preserve"> tarihli ve 5015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Petrol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 ve 5607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t: Benzin, gaz 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jet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motorin, </w:t>
      </w:r>
      <w:proofErr w:type="spellStart"/>
      <w:r>
        <w:rPr>
          <w:sz w:val="18"/>
          <w:szCs w:val="18"/>
        </w:rPr>
        <w:t>fuel</w:t>
      </w:r>
      <w:proofErr w:type="spellEnd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oil</w:t>
      </w:r>
      <w:proofErr w:type="spellEnd"/>
      <w:r>
        <w:rPr>
          <w:sz w:val="18"/>
          <w:szCs w:val="18"/>
        </w:rPr>
        <w:t>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v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petrol gazlar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gaz gibi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ile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yerine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petrol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revleri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yerine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koyma: 5607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10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Depolama yeri: 5607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 veya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konulan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yerleri,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Elkoyma</w:t>
      </w:r>
      <w:proofErr w:type="spellEnd"/>
      <w:r>
        <w:rPr>
          <w:sz w:val="18"/>
          <w:szCs w:val="18"/>
        </w:rPr>
        <w:t>: 5607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9 uncu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yakalanan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ta </w:t>
      </w:r>
      <w:proofErr w:type="spellStart"/>
      <w:r>
        <w:rPr>
          <w:sz w:val="18"/>
          <w:szCs w:val="18"/>
        </w:rPr>
        <w:t>elkonulmas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>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Elkoyan</w:t>
      </w:r>
      <w:proofErr w:type="spellEnd"/>
      <w:r>
        <w:rPr>
          <w:sz w:val="18"/>
          <w:szCs w:val="18"/>
        </w:rPr>
        <w:t>/Al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koyan idare/birim: 5607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nleme, izleme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olan idareyi/birimi,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veya tamamen yerine getirildi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merkez veya ta</w:t>
      </w:r>
      <w:r>
        <w:rPr>
          <w:sz w:val="18"/>
          <w:szCs w:val="18"/>
        </w:rPr>
        <w:t>ş</w:t>
      </w:r>
      <w:r>
        <w:rPr>
          <w:sz w:val="18"/>
          <w:szCs w:val="18"/>
        </w:rPr>
        <w:t>ra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hiyerar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birimlerinin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idarelerince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ile ilgili olarak uygulanan kanun,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idari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t: 5607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olarak kabul edilen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eri: 5607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FOB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ymetini, ithal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CIF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ymetini veya varsa mahkemece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Kurum: Enerji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Kurumunu,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Rayi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bedel: Bir mal,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hizmetin temin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 ve tarihteki normal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bedelini,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Teknik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zenleme: Petrol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maden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n, ilgili idar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ntemleri, bunlarla ilgili terminoloji, sembol, ambalajlama,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aretleme, etiketleme ve uygunluk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 veya birka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belirten ve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zenlemeyi,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Ulusal marker: Kurumca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rlerine; rafineri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inde, sanayide 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olarak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veya tasfiye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ttan teknik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uygun olan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veya benzin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rlerine harmanlanacak </w:t>
      </w:r>
      <w:proofErr w:type="spellStart"/>
      <w:r>
        <w:rPr>
          <w:sz w:val="18"/>
          <w:szCs w:val="18"/>
        </w:rPr>
        <w:t>etanole</w:t>
      </w:r>
      <w:proofErr w:type="spellEnd"/>
      <w:r>
        <w:rPr>
          <w:sz w:val="18"/>
          <w:szCs w:val="18"/>
        </w:rPr>
        <w:t xml:space="preserve"> ticari faaliyete konu edilmeden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eklenecek ve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bozmayacak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haiz kimyasal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647A8D" w:rsidRDefault="00647A8D" w:rsidP="00647A8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47A8D" w:rsidRDefault="00647A8D" w:rsidP="00647A8D">
      <w:pPr>
        <w:pStyle w:val="2-OrtaBaslk"/>
        <w:spacing w:line="240" w:lineRule="exact"/>
        <w:rPr>
          <w:sz w:val="18"/>
          <w:szCs w:val="18"/>
        </w:rPr>
      </w:pP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Tespiti, Numune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</w:t>
      </w:r>
    </w:p>
    <w:p w:rsidR="00647A8D" w:rsidRDefault="00647A8D" w:rsidP="00647A8D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Numune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analizi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veya denetimle yetkili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personel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denetimler sonucunda veya kara, hava ve deniz hudut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numuneler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Numune Alma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Numunelerin bir adedi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 ve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tasfiye ile ilgili kuruma bildirilir.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terk edilen veya terk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numune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 Ancak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</w:t>
      </w:r>
      <w:r>
        <w:rPr>
          <w:sz w:val="18"/>
          <w:szCs w:val="18"/>
        </w:rPr>
        <w:t>şü</w:t>
      </w:r>
      <w:r>
        <w:rPr>
          <w:sz w:val="18"/>
          <w:szCs w:val="18"/>
        </w:rPr>
        <w:t>phe duyulan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cinsinin tespiti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ilgili standartlarda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numune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analiz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Numuneler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Saklama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resince, mahkemece yeniden analize sevki veya tedbir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istenmeyen numuneler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mahkemesinden numunelerin tasfiye 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karar istenir.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teslimi ve muhafazas</w:t>
      </w:r>
      <w:r>
        <w:rPr>
          <w:b/>
          <w:sz w:val="18"/>
          <w:szCs w:val="18"/>
        </w:rPr>
        <w:t>ı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zann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irilen petrol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Tespit ve </w:t>
      </w:r>
      <w:proofErr w:type="spellStart"/>
      <w:r>
        <w:rPr>
          <w:sz w:val="18"/>
          <w:szCs w:val="18"/>
        </w:rPr>
        <w:t>Elkoyma</w:t>
      </w:r>
      <w:proofErr w:type="spellEnd"/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ile birlikte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artlarda muhafaza 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ele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irilen mahallin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idareleri,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bulunmayan yerlerde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nlerini yakalayan kolluk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yakalama yerinde teslim edilir. </w:t>
      </w:r>
      <w:proofErr w:type="gramEnd"/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bulunmayan yerlerde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teslim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tutanak suretlerinin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onaylayarak teyit ederler.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idaresi,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bulunmayan yerlerde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klar, teslim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gelinceye kadar </w:t>
      </w:r>
      <w:proofErr w:type="spellStart"/>
      <w:r>
        <w:rPr>
          <w:sz w:val="18"/>
          <w:szCs w:val="18"/>
        </w:rPr>
        <w:t>nev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ve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meyecek,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mayacak,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 ve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olma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 kaybetmeyecek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saklamak, korumak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tedbiri almakla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muhafaza eden kurum veya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ve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kaynaklanan normal fire,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ve benzerleri ile yetkili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numuneler haricinde,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teslim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ayniyetine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ve miktarda teslim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Bunlar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p,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su bask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benzeri nedenlerden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niteliklerinin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tamamen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yok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hallerinde durum,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tevsik eden resmi belgelerle birlikte ilgili davaya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bildirilir.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teslimi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olmayan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ile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tesis ve tertibat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idarelerin depolama kapasitesini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ehirler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kaymakam, illerde valinin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 ve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fiziki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olan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yakaland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yerden teslim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tutanakla teslim 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proofErr w:type="spellStart"/>
      <w:r>
        <w:rPr>
          <w:sz w:val="18"/>
          <w:szCs w:val="18"/>
        </w:rPr>
        <w:t>LPG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teslimi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ncelikle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idaresi,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bulunmayan yerlerde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Depolama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yerlere teslimi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olmayan </w:t>
      </w:r>
      <w:proofErr w:type="spellStart"/>
      <w:r>
        <w:rPr>
          <w:sz w:val="18"/>
          <w:szCs w:val="18"/>
        </w:rPr>
        <w:t>LPG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depolama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bu birimlerce tutanak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edilecek uygun yer bulunamayan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yediemine teslim 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Analiz sonras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muhafaza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muhafaza edilen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numunelerin test ve analizlerine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yeniden belirlenebilir.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Seyyar kontrol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ulusal marker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itiraz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raporunda ulusal marker seviyesinin yeterli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bu numunenin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n, sahibine teslim 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artlarda muhafaza edilir.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sahibi teslim almadan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numune alma ve analiz yapma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haizdir.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Ulusal marker seviyesi yeterli bulunmayan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nlerinden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teknik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uygun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belirlenenler, tasfiye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verilene kadar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saklanmaya devam edilir. Tasfiye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stakil muhafaza </w:t>
      </w:r>
      <w:proofErr w:type="gramStart"/>
      <w:r>
        <w:rPr>
          <w:sz w:val="18"/>
          <w:szCs w:val="18"/>
        </w:rPr>
        <w:t>imkan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bulunmayan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nlerden cinsi ve nitelikleri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n; teknik-ekonomik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bozulmayacak, piyasa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meyecek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kabul edilmesine engel olmayacak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 suretiyle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yoluna gidilebilir.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Teknik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uygun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na dair muayene raporu gelen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de tasfiye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verilene kadar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saklanmaya devam edilir. Tasfiye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verildikten sonra; cins ve nitelik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olmak, teknik-ekonomik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bozulmamak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 suretiyle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Numune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nmayan ve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raporu gerekmeyen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tasfiye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verilene kadar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47A8D" w:rsidRDefault="00647A8D" w:rsidP="00647A8D">
      <w:pPr>
        <w:pStyle w:val="2-OrtaBaslk"/>
        <w:spacing w:line="240" w:lineRule="exact"/>
        <w:rPr>
          <w:sz w:val="18"/>
          <w:szCs w:val="18"/>
        </w:rPr>
      </w:pP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</w:p>
    <w:p w:rsidR="00647A8D" w:rsidRDefault="00647A8D" w:rsidP="00647A8D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Elkonulan</w:t>
      </w:r>
      <w:proofErr w:type="spellEnd"/>
      <w:r>
        <w:rPr>
          <w:b/>
          <w:sz w:val="18"/>
          <w:szCs w:val="18"/>
        </w:rPr>
        <w:t xml:space="preserve"> 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masraflar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kar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nakliyesi gibi nedenlerle </w:t>
      </w:r>
      <w:proofErr w:type="spellStart"/>
      <w:r>
        <w:rPr>
          <w:sz w:val="18"/>
          <w:szCs w:val="18"/>
        </w:rPr>
        <w:t>elkonuldu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</w:t>
      </w:r>
      <w:proofErr w:type="spellEnd"/>
      <w:r>
        <w:rPr>
          <w:sz w:val="18"/>
          <w:szCs w:val="18"/>
        </w:rPr>
        <w:t xml:space="preserve"> andan itibaren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masraflar, teslim almakla sorumlu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 Bu kapsamda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mal,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gramStart"/>
      <w:r>
        <w:rPr>
          <w:sz w:val="18"/>
          <w:szCs w:val="18"/>
        </w:rPr>
        <w:t>4/1/2002</w:t>
      </w:r>
      <w:proofErr w:type="gramEnd"/>
      <w:r>
        <w:rPr>
          <w:sz w:val="18"/>
          <w:szCs w:val="18"/>
        </w:rPr>
        <w:t xml:space="preserve"> tarihli ve 4734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hale Kanunu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uygulanmaz.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ak 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muhafaza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resi ve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 tarifesi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Muhafaza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yere teslim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itibaren;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Mahkemece sahibine iadesine karar verilmesi halinde,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sahibine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takip eden otuzuncu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tasfiye edilmesi durumunda, teslim alma tarihine kadar,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</w:t>
      </w:r>
      <w:proofErr w:type="gramEnd"/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residir.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muhafaza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creti;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binde bir olarak,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aydan sonraki muhafaza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(a) bendindeki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(3)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Muhafaza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otuzunu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Depolama hizmetleri muhafaza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yediemin olarak tesliminde muhafaza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belirtilen usul ve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tespit edilir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Sahibine yediemin olarak verilen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herhangi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muhafaza edilen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muhafaza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na dair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bulunmayan hallerde, muhafaza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 olarak herhangi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Tasfiye edilen ka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ak 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muhafaza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creti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suretiyle tasfiyesi halinde,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zde </w:t>
      </w:r>
      <w:proofErr w:type="spellStart"/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muhafaza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olarak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bu tutar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8 inci maddenin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azami haddi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tahsisi halinde,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muhafaza eden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larca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hizmetler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verilecek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teslim almakla sorumlu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depolama yerlerinde muhafaza edilmesi durumunda,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muhafaza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Nakliye,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kleme ve bo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altma masraflar</w:t>
      </w:r>
      <w:r>
        <w:rPr>
          <w:b/>
          <w:sz w:val="18"/>
          <w:szCs w:val="18"/>
        </w:rPr>
        <w:t>ı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yere kadar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naklinin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muhafaza edecek kuruma ait uygun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ncelikle bu </w:t>
      </w:r>
      <w:proofErr w:type="gramStart"/>
      <w:r>
        <w:rPr>
          <w:sz w:val="18"/>
          <w:szCs w:val="18"/>
        </w:rPr>
        <w:t>imkanlar</w:t>
      </w:r>
      <w:proofErr w:type="gram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naklinin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yerden muhafaza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yere teslimine kadar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nakliye,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kleme ve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altma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teslim almakla sorumlu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a, </w:t>
      </w:r>
      <w:proofErr w:type="gramStart"/>
      <w:r>
        <w:rPr>
          <w:sz w:val="18"/>
          <w:szCs w:val="18"/>
        </w:rPr>
        <w:t>31/12/2005</w:t>
      </w:r>
      <w:proofErr w:type="gramEnd"/>
      <w:r>
        <w:rPr>
          <w:sz w:val="18"/>
          <w:szCs w:val="18"/>
        </w:rPr>
        <w:t xml:space="preserve"> tarihli ve 26040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Harcama Belgeleri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Piyasa Fiyat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ğı”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Harcama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Piyasa Fiyat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ğı”</w:t>
      </w:r>
      <w:r>
        <w:rPr>
          <w:sz w:val="18"/>
          <w:szCs w:val="18"/>
        </w:rPr>
        <w:t xml:space="preserve"> il veya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kamu kurumu veya kamu kurumu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haiz meslek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yoksa piyasadan fiyat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teslim almakla sorumlu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harcama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mal veya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harcamalar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tirilmesinde, mal veya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 birimler,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yasal mevzuata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sorumludurlar.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Piyasa ara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lmadan mal ve hizmet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Mal ve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sadece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tek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sahibi birim amiri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turulacak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bir komisyon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tespit edilmesi,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Sadece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tek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bir hakka sahip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belgelenmesi,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sermayesinin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kamuya ait bulunan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lardan,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kanunlarla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bu kanunlarla kendilerine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haiz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</w:t>
      </w:r>
      <w:proofErr w:type="gramEnd"/>
      <w:r>
        <w:rPr>
          <w:sz w:val="18"/>
          <w:szCs w:val="18"/>
        </w:rPr>
        <w:t>, mal ve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piyasa fiyat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bu yerlerden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belgesinin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zenlenmesine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harcama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istinaden harcama konusuna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kin; fatura veya fatura yerine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serbest meslek makbuzu, gider pusulas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kanunen bu belgeleri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 zorunda olmayanlar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Harcama Belgeleri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Harcama Pusulas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>, varsa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me, tutanak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belgeler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belgesine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lanarak harcama yetkilisinin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sunulur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l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idareleri ve defterdarl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klarca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masraflar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kar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nakliyesi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tank, depo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kiralanmas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-gere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teknik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kiralanmas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venlik, hamaliye,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m-onar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benzeri zorunlu hizmetlerin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4734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uygulanmadan, ilgili kurum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 ka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ak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ile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cadele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masraflar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kar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5607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16/A maddesi veya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konusunda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Maliye Bakanl</w:t>
      </w:r>
      <w:r>
        <w:rPr>
          <w:sz w:val="18"/>
          <w:szCs w:val="18"/>
        </w:rPr>
        <w:t>ığı’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merkez ve ta</w:t>
      </w:r>
      <w:r>
        <w:rPr>
          <w:sz w:val="18"/>
          <w:szCs w:val="18"/>
        </w:rPr>
        <w:t>ş</w:t>
      </w:r>
      <w:r>
        <w:rPr>
          <w:sz w:val="18"/>
          <w:szCs w:val="18"/>
        </w:rPr>
        <w:t>ra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Enerji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 Kurumu ve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mal,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gramStart"/>
      <w:r>
        <w:rPr>
          <w:sz w:val="18"/>
          <w:szCs w:val="18"/>
        </w:rPr>
        <w:t>4/1/2002</w:t>
      </w:r>
      <w:proofErr w:type="gramEnd"/>
      <w:r>
        <w:rPr>
          <w:sz w:val="18"/>
          <w:szCs w:val="18"/>
        </w:rPr>
        <w:t xml:space="preserve"> tarihli ve 4734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uygulanmadan, ilgili kurum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47A8D" w:rsidRDefault="00647A8D" w:rsidP="00647A8D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Tasfiyesine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ta ulusal marker temini ve eklenmesi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mahalli idarelerin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bedelsiz tahsisi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tasfiye edilecek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veya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tla harmanlanan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nlere ulusal marker eklenmez.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suretiyle tasfiye edilen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rafinerici,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leme, madeni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ihrakiye</w:t>
      </w:r>
      <w:proofErr w:type="spellEnd"/>
      <w:r>
        <w:rPr>
          <w:sz w:val="18"/>
          <w:szCs w:val="18"/>
        </w:rPr>
        <w:t xml:space="preserve"> teslim,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haiz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eklenecek ulusal marker, Kurumca belirlenecek usul ve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eklenmek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teslim 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ak 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tahsisi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teslim almakla sorumlu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tahsis komisyonu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mahalli idareler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teslim almakla sorumlu idareden,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cinsi ve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belirterek bedelsiz tahsis talebinde bulunurlar.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Tahsis edilecek teknik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uygun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yere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tahsis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tahsis edilen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teslim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komisyonca tahsis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Tahsis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idarelerinde genel sekreter, ya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re;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eden kurum veya birimlere,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yerdeki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mahalli idarelere,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mahalli idarelere,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proofErr w:type="gramEnd"/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bedelsiz olarak tahsis 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Kara, hava ve deniz hudut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idarelerine bedelsiz tahsis edilerek tasfiye edilir.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mahalli idarelerin 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bedelsiz tahsis edilerek tasfiye 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Tahsisi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muhafaza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yerden, tahsis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birim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teslim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teslim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nmayan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tahsis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birime tahsisi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Tahsisi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proofErr w:type="gramStart"/>
      <w:r>
        <w:rPr>
          <w:sz w:val="18"/>
          <w:szCs w:val="18"/>
        </w:rPr>
        <w:t>28/12/2006</w:t>
      </w:r>
      <w:proofErr w:type="gramEnd"/>
      <w:r>
        <w:rPr>
          <w:sz w:val="18"/>
          <w:szCs w:val="18"/>
        </w:rPr>
        <w:t xml:space="preserve"> tarihli ve 2006/11545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Mal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Teknik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zenlemelere uygun ka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ak 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sat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 xml:space="preserve"> suretiyle tasfiye usul</w:t>
      </w:r>
      <w:r>
        <w:rPr>
          <w:b/>
          <w:sz w:val="18"/>
          <w:szCs w:val="18"/>
        </w:rPr>
        <w:t>ü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Numune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teknik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zenlemelere uygun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kan ve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tahsis edilemeyen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tasfiyesi,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tasfiyesi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idaresince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proofErr w:type="gramStart"/>
      <w:r>
        <w:rPr>
          <w:sz w:val="18"/>
          <w:szCs w:val="18"/>
        </w:rPr>
        <w:t>8/9/1983</w:t>
      </w:r>
      <w:proofErr w:type="gramEnd"/>
      <w:r>
        <w:rPr>
          <w:sz w:val="18"/>
          <w:szCs w:val="18"/>
        </w:rPr>
        <w:t xml:space="preserve"> tarihli ve 2886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Devlet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hale Kanununun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teklif ve pazarl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45 ila 51 inci maddeleri emsal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2886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miktar,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reler, ilan ve benzeri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 Tasfiye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ilan,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mahalli ve/veya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kan gazetelerde ve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duyurulmak suretiyle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Tahmini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bedeli, ilana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tarihteki benzeri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 rafineri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bedelinden vergiler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sonra kalan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tespit edilemez.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teklif veya pazarl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ihalesine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5015 veya 5307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ve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rafinerici,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leme, madeni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ihrakiye</w:t>
      </w:r>
      <w:proofErr w:type="spellEnd"/>
      <w:r>
        <w:rPr>
          <w:sz w:val="18"/>
          <w:szCs w:val="18"/>
        </w:rPr>
        <w:t xml:space="preserve"> teslim,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uygunluk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haiz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Tasfiye ihalesi, numune analiz raporunun </w:t>
      </w:r>
      <w:proofErr w:type="spellStart"/>
      <w:r>
        <w:rPr>
          <w:sz w:val="18"/>
          <w:szCs w:val="18"/>
        </w:rPr>
        <w:t>laboratuvardan</w:t>
      </w:r>
      <w:proofErr w:type="spellEnd"/>
      <w:r>
        <w:rPr>
          <w:sz w:val="18"/>
          <w:szCs w:val="18"/>
        </w:rPr>
        <w:t xml:space="preserve">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layarak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lisans sahibi, mevzuatta ulusal marker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tutulanlar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ne;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proofErr w:type="gramStart"/>
      <w:r>
        <w:rPr>
          <w:sz w:val="18"/>
          <w:szCs w:val="18"/>
        </w:rPr>
        <w:t>12/4/2006</w:t>
      </w:r>
      <w:proofErr w:type="gramEnd"/>
      <w:r>
        <w:rPr>
          <w:sz w:val="18"/>
          <w:szCs w:val="18"/>
        </w:rPr>
        <w:t xml:space="preserve"> tarihli ve 26137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Petrol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Ulusal Marker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olarak marker katmakla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lmek maksad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veya bulundurulan maden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asfalt, </w:t>
      </w:r>
      <w:proofErr w:type="spellStart"/>
      <w:r>
        <w:rPr>
          <w:sz w:val="18"/>
          <w:szCs w:val="18"/>
        </w:rPr>
        <w:t>solvent</w:t>
      </w:r>
      <w:proofErr w:type="spellEnd"/>
      <w:r>
        <w:rPr>
          <w:sz w:val="18"/>
          <w:szCs w:val="18"/>
        </w:rPr>
        <w:t>, nafta ve benzeri petrol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revleri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yerine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de (a) bendinde belirtilen usulle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ihalesine sadece benzeri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ithali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Kurumdan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uygunluk belgesi sahipleri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tahmini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bedeli;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 ihale ilan tarihindeki benzerlerinin piyasa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inden,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larda ise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orijinal halinin piyasa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belirlenemez.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gelir olarak kaydedilir.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Teknik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zenlemelere uygun olmayan 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rafinerilere teslimi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Numune analiz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teknik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uygun olmayan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t,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rafinericiye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Rafinerici,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almakla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Bu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ta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bedeli, benzin, motorin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rleri, gaz 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jet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nafta ve </w:t>
      </w:r>
      <w:proofErr w:type="spellStart"/>
      <w:r>
        <w:rPr>
          <w:sz w:val="18"/>
          <w:szCs w:val="18"/>
        </w:rPr>
        <w:t>solvent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rlerinde rafineride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ay sonunda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ham petrol/devir maliyet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 ise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altm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az olamaz.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Sahipsiz olarak yakalanan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ulusal marker saha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sonucunun,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 ve seviyede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bahse konu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analizi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teknik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edilir ve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rafinericiye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tasfiye 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gelir olarak kaydedilir.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k idaresine </w:t>
      </w:r>
      <w:proofErr w:type="spellStart"/>
      <w:r>
        <w:rPr>
          <w:b/>
          <w:sz w:val="18"/>
          <w:szCs w:val="18"/>
        </w:rPr>
        <w:t>terkedilen</w:t>
      </w:r>
      <w:proofErr w:type="spellEnd"/>
      <w:r>
        <w:rPr>
          <w:b/>
          <w:sz w:val="18"/>
          <w:szCs w:val="18"/>
        </w:rPr>
        <w:t xml:space="preserve"> veya </w:t>
      </w:r>
      <w:proofErr w:type="spellStart"/>
      <w:r>
        <w:rPr>
          <w:b/>
          <w:sz w:val="18"/>
          <w:szCs w:val="18"/>
        </w:rPr>
        <w:t>terkedilmi</w:t>
      </w:r>
      <w:r>
        <w:rPr>
          <w:b/>
          <w:sz w:val="18"/>
          <w:szCs w:val="18"/>
        </w:rPr>
        <w:t>ş</w:t>
      </w:r>
      <w:proofErr w:type="spellEnd"/>
      <w:r>
        <w:rPr>
          <w:b/>
          <w:sz w:val="18"/>
          <w:szCs w:val="18"/>
        </w:rPr>
        <w:t xml:space="preserve"> say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tasfiyesi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Kanununun 164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terk edilen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terk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ttan teknik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zenlemelere uygun olanlar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idarelerinin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ise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mahalli idarelerin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bedelsiz tahsis 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tahsis edilemeyen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ise </w:t>
      </w:r>
      <w:proofErr w:type="gramStart"/>
      <w:r>
        <w:rPr>
          <w:sz w:val="18"/>
          <w:szCs w:val="18"/>
        </w:rPr>
        <w:t>25/6/2013</w:t>
      </w:r>
      <w:proofErr w:type="gramEnd"/>
      <w:r>
        <w:rPr>
          <w:sz w:val="18"/>
          <w:szCs w:val="18"/>
        </w:rPr>
        <w:t xml:space="preserve"> tarihli ve 28688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Tasfiye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tasfiye 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Sahibine iade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bedeli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gelir kaydedilen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sonucunda sahibine iadesine karar verilmesi halinde, toplam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bedelinden vergiler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kten sonra kalan tutar, </w:t>
      </w:r>
      <w:proofErr w:type="spellStart"/>
      <w:r>
        <w:rPr>
          <w:sz w:val="18"/>
          <w:szCs w:val="18"/>
        </w:rPr>
        <w:t>elkoyma</w:t>
      </w:r>
      <w:proofErr w:type="spellEnd"/>
      <w:r>
        <w:rPr>
          <w:sz w:val="18"/>
          <w:szCs w:val="18"/>
        </w:rPr>
        <w:t xml:space="preserve"> tarihinden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tarihe kadar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kanuni faiz ilave edilerek ilgili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esinden hak sahibine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(2) Tahsis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sonucunda sahibine iadesine karar verilmesi halinde, benzin, motorin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rleri, gaz 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jet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nafta ve </w:t>
      </w:r>
      <w:proofErr w:type="spellStart"/>
      <w:r>
        <w:rPr>
          <w:sz w:val="18"/>
          <w:szCs w:val="18"/>
        </w:rPr>
        <w:t>solvent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rlerinde, rafineride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ay sonunda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ham petrol/devir maliyet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 ise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altm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az olmayan rafinericiye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hesaplanacak bedelden vergiler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kten sonra kalan tutar, </w:t>
      </w:r>
      <w:proofErr w:type="spellStart"/>
      <w:r>
        <w:rPr>
          <w:sz w:val="18"/>
          <w:szCs w:val="18"/>
        </w:rPr>
        <w:t>elkoyma</w:t>
      </w:r>
      <w:proofErr w:type="spellEnd"/>
      <w:r>
        <w:rPr>
          <w:sz w:val="18"/>
          <w:szCs w:val="18"/>
        </w:rPr>
        <w:t xml:space="preserve"> tarihinden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tarihe kadar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kanuni faiz ilave edilerek ilgili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idaresi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esinden hak sahibine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  <w:proofErr w:type="gramEnd"/>
    </w:p>
    <w:p w:rsidR="00647A8D" w:rsidRDefault="00647A8D" w:rsidP="00647A8D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47A8D" w:rsidRDefault="00647A8D" w:rsidP="00647A8D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inceleyip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rmaya, konusuna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ve Ticaret,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Maliye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Yakalanan ka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ak akaryak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ta ait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6455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 ile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ve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Kanunun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proofErr w:type="spellStart"/>
      <w:r>
        <w:rPr>
          <w:sz w:val="18"/>
          <w:szCs w:val="18"/>
        </w:rPr>
        <w:t>elkonulan</w:t>
      </w:r>
      <w:proofErr w:type="spellEnd"/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nakliyesi ve tasfiyesinde, </w:t>
      </w:r>
      <w:proofErr w:type="spellStart"/>
      <w:r>
        <w:rPr>
          <w:sz w:val="18"/>
          <w:szCs w:val="18"/>
        </w:rPr>
        <w:t>elkonuldu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</w:t>
      </w:r>
      <w:proofErr w:type="spellEnd"/>
      <w:r>
        <w:rPr>
          <w:sz w:val="18"/>
          <w:szCs w:val="18"/>
        </w:rPr>
        <w:t xml:space="preserve"> tarihte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olan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5607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Kanununun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tasfiye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tasfiye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karar verilmemesi hallerinde,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derhal tasfiye edilir.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tasfiye edilecek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ttan numune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numune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 ise,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rt edici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edilir.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Enerji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Kurumunun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proofErr w:type="gramStart"/>
      <w:r>
        <w:rPr>
          <w:sz w:val="18"/>
          <w:szCs w:val="18"/>
        </w:rPr>
        <w:t>1/4/2014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47A8D" w:rsidRDefault="00647A8D" w:rsidP="00647A8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ve Ticaret,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Maliye Bakanlar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47A8D" w:rsidRDefault="00647A8D" w:rsidP="00647A8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47A8D" w:rsidRDefault="00647A8D" w:rsidP="00647A8D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Ekler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647A8D" w:rsidRPr="00E406AD" w:rsidRDefault="00647A8D" w:rsidP="00E406A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47A8D" w:rsidRPr="00E406AD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5FA" w:rsidRDefault="007315FA" w:rsidP="00CE6B7C">
      <w:pPr>
        <w:spacing w:after="0" w:line="240" w:lineRule="auto"/>
      </w:pPr>
      <w:r>
        <w:separator/>
      </w:r>
    </w:p>
  </w:endnote>
  <w:endnote w:type="continuationSeparator" w:id="0">
    <w:p w:rsidR="007315FA" w:rsidRDefault="007315F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40145">
        <w:pPr>
          <w:pStyle w:val="Altbilgi"/>
          <w:jc w:val="center"/>
        </w:pPr>
        <w:fldSimple w:instr=" PAGE   \* MERGEFORMAT ">
          <w:r w:rsidR="00647A8D">
            <w:rPr>
              <w:noProof/>
            </w:rPr>
            <w:t>3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5FA" w:rsidRDefault="007315FA" w:rsidP="00CE6B7C">
      <w:pPr>
        <w:spacing w:after="0" w:line="240" w:lineRule="auto"/>
      </w:pPr>
      <w:r>
        <w:separator/>
      </w:r>
    </w:p>
  </w:footnote>
  <w:footnote w:type="continuationSeparator" w:id="0">
    <w:p w:rsidR="007315FA" w:rsidRDefault="007315F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41BF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6602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7"/>
    <w:rsid w:val="0072766F"/>
    <w:rsid w:val="007309FF"/>
    <w:rsid w:val="007315FA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3/20140326-3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3417</Words>
  <Characters>19478</Characters>
  <Application>Microsoft Office Word</Application>
  <DocSecurity>0</DocSecurity>
  <Lines>162</Lines>
  <Paragraphs>45</Paragraphs>
  <ScaleCrop>false</ScaleCrop>
  <Company>TURMOB</Company>
  <LinksUpToDate>false</LinksUpToDate>
  <CharactersWithSpaces>22850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787</cp:revision>
  <cp:lastPrinted>2013-12-13T06:43:00Z</cp:lastPrinted>
  <dcterms:created xsi:type="dcterms:W3CDTF">2013-06-03T05:31:00Z</dcterms:created>
  <dcterms:modified xsi:type="dcterms:W3CDTF">2014-03-26T06:43:00Z</dcterms:modified>
</cp:coreProperties>
</file>