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DD218F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28977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46832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946832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46832" w:rsidRPr="00946832" w:rsidRDefault="00946832" w:rsidP="0094683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M VERG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946832" w:rsidRPr="00946832" w:rsidRDefault="00946832" w:rsidP="00946832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NO: 34)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4760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Kanununun</w:t>
      </w: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maddesinin 2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Maliye Bakanl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verdi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yetkiye istinaden, 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en Kanuna ekli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olarak bu 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 (1.)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nde belirtilen mallarla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zere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ilmesi uygun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Bu uygulaman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usul ve esaslar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ise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maddesinin 2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, 9 uncu maddesi, 14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maddesinin 5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15 inci maddesinin 1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 213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Usul Kanununun</w:t>
      </w: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120 nci maddesi ile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kerrer 257 nci maddesinin Maliye Bakanl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verdi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 yetkiler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evesinde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da belirlenmi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1. TEVK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FAT UYGULAMASININ KAPSAMI VE 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TEL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maddesinin 2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re,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kellefin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rkiye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inde ikametg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yerinin, kanuni ve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merkezlerinin bulunmamas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halleri ile gerekli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 hallerde Maliye Bakanl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vergi alaca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emniyet alt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vergiye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bi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lemlere taraf olanlar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denmesinden sorumlu tutma yetkisine sahiptir.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Bu yetkiye istinaden,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Kanununa ekli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listenin (B) cetvelinin 38.11 tarife pozisyon numaras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yer alan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(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TV)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 (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4/12/2013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tarihli ve 5015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Kanununda</w:t>
      </w: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mlanan rafinericiler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teslimine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TV, yaln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zca sanayi sicil belgesini haiz olan KDV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 tevkifata tabi tutulmak suretiyle beyan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ihtiyari bir uygulama olmay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p,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tevkifat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da belirtilen tarife pozisyon numaras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lan mallarla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olup, bunun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 kalan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ye tabi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teslimlerinde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2. TEVK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FAT UYGULAMASINDA VERG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 BEYANI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2.1. Sat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kelleflerinin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TV Tevkifat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na Tabi Mal Teslimlerinin Beyan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kelleflerinin tevkifata tabi mal teslimleri,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teslimlerin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neminde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Tecil ve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bilgiler doldurulmak suretiyle beyan edilecektir. 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ca, bu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Tevkifata Tabi Mal Teslimleri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da doldurulacakt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teslim edilen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ithal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bu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ithalinde,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ye kar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 olmak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 idaresince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nan teminat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lemleri, bu teslimlerle ilgili tevkif edilen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nin beyan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ine dair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u vergi dairesinden teyit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zerine 1 Seri No.lu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Genel 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inin</w:t>
      </w: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(16.3.5.2./d)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nde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klamalar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evesinde yerine getirilecektir.</w:t>
      </w:r>
      <w:proofErr w:type="gramEnd"/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2.2. Al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malat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lar (Vergi Sorumlular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) Taraf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ndan Tevkifata Tabi Tutulan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nin Beyan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teslim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nan mallar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zerinden hesaplanan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TV'nin tamam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tevkifata tabi tutulacakt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r. Tevkifata tabi tutulan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 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 teslimin ger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olarak KDV 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olunan vergi dairesine elektronik ortamda verilecek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 ile beyan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Kanununa ekli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er mal teslimleri nedeniyle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kellefiyetinin bulunmas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veya bulunmamas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bu uygulama uyar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beyannamesinin verilmesine engel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verilmesi gereken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 sadece tevkifata tabi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u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neminde verilecektir.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lemlerde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TV'nin beyan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nemi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tespit edilecektir.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uygulama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ndaki teslimlere ait fatura veya benzeri belgeler, izleyen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olsa dahi sorumlu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beyan, teslimin ger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neminin beyan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rnek: Sanayi sicil belgesini haiz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(A),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(B)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14/5/2014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tarihinde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 eki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 yer alan ve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2,2985 TL/Kg. olan 38.11 tarife pozisyon numaras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1.000 Kg.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stahzar katk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isimli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3.000 TL kar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alm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(B)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bu teslime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fatura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17/5/2014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tarihinde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konusu teslim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14/5/2014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tarihinde ger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inden tevkif edilen 2.298,50 TL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nin,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16-25/5/2014 tarihleri 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(teslime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fatura 17/5/2014 tarihinde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olsa dahi)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 ile beyan edilerek 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denmesi gerekmektedir.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lastRenderedPageBreak/>
        <w:t>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ca tevkifat, bu 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alan ve 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fatura veya benzeri belge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zenlenen 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larak, tevkif edilen bu vergi yukar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da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lan belirlemeler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evesinde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 ile beyan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lemlerin tespit ve tevsikinde Gelir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/Vergi Dairesi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-Defterdarl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k/vergi dairesi kay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3. TEVK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FATA TAB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TUTULAN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Tevkifata tabi tutulan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beyan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beyannamesinde, beyan edilen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 herhangi bir surette indirim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bulunmamaktad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Ancak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Kanununa ekli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 yer alan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ka bir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imalinde kullan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vergi sorumlular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nca beyan edilip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n, bu Kanunun 9 uncu maddesi uyar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nca, yaln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zca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retilen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tesliminin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neminde, bu teslimlere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beyan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eren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beyannamesinde indirimi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uygulama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 tevkif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beyannamesinin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stisnalar ve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ndirimler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ndirimler (Ayn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Listedeki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malatta Kullan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)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beyan edilmek suretiyle indirilebilecektir.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Bu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ekilde indirim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labilecek azami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girdi olarak kullan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suretiyle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retilen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teslimine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hesaplanan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emeyecektir.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lamayan tutar ise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yapan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ilgili mevzuat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evesinde gider veya maliyet unsuru olarak dikkate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Tevkifata tabi tutulan ancak beyan edilmeyen veya beyan edilmesine ra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men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denmeyen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indirim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ca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olmayan mallar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tevkifat uygulanmak suretiyle beyan edilerek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de indirim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lmayaca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tabiidir.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rnek: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(B), sanayi sicil belgesini haiz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(A)'ya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28/4/2014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tarihinde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Kanununa ekli (I)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 yer alan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2,2985 TL/Kg. olan 38.11 tarife pozisyon numaras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1.000 Kg.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stahzar katk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isimli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3.000 TL kar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teslim etmi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 bu teslime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faturay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4/5/2014 tarihinde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(A), 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sini tevkif ederek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bu mal ile ithal etti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listedeki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baz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kullanmak suretiyle yine 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listede yer alan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1,3007 TL/Kg. olan 2.000 Kg. madeni ya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retmi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bu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17/5/2014 tarihinde satm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re,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38.11 tarife pozisyon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stahzar katk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isimli mala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tevkif edilerek 1-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10/5/2014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tarihleri 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 ile beyan edilerek 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nin, bu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girdi olarak kullan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suretiyle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retilen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teslimine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yine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1-10/6/2014 tarihleri 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verilmesi gereken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beyannamesinde indirim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olabilecektir.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Bu durumda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(A)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verilecek;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a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>- 2014/Nisan II.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nemine ait (6)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beyannamesinde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ab/>
        <w:t xml:space="preserve">Tevkif edilen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= 1.000 x 2,2985 = 2.298,50 TL,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b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>- 2014/May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 II. vergilendirme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nemine ait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beyannamesinde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ab/>
        <w:t xml:space="preserve">Hesaplanan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= 2.000 x 1,3007         = 2.601,40 TL,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ab/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ndirilecek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           = 1.000 x 2,2985         = 2.298,50 TL,</w:t>
      </w:r>
    </w:p>
    <w:p w:rsidR="00946832" w:rsidRPr="00946832" w:rsidRDefault="00946832" w:rsidP="00946832">
      <w:pPr>
        <w:tabs>
          <w:tab w:val="left" w:pos="566"/>
          <w:tab w:val="left" w:pos="987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ab/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TV             = 2.601,40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2.298,50 =    302,90 TL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olarak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Bununla birlikte,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(B)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bu teslime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faturan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resinden sonra (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15/5/2014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tarihinde)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vergi sorumlusu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tevkif edilen verginin 1-10/5/2014 tarihleri 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beyan edilerek ayn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denmesine engel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4. TEVK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FAT UYGULAMASINDA BELGE 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ZEN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Tevkifata tabi teslimler dolay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zenlenecek belgelerde;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Kanununun 15 inci maddesi h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Teslim Miktar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, Teslim Bedeli, Hesaplanan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TV,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Tevkif Edilecek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TV, KDV Matrah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, Hesaplanan KDV, Tevkifat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hil Toplam Tutar ve Tevkifat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Toplam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sterilecektir. Bu belgelere, tevkifat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toplam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rakam ve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ile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rnek: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ve KDV hari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3.000 TL bedelle teslim edilen ve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2,2985 TL/Kg. olan 1.000 Kg. 38.11 tarife pozisyon numaras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stahzar katk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isimli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faturas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daki bilgileri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ekilde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4"/>
        <w:gridCol w:w="3251"/>
      </w:tblGrid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Teslim </w:t>
            </w:r>
            <w:proofErr w:type="gramStart"/>
            <w:r w:rsidRPr="0094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Miktarı                                                                     :</w:t>
            </w:r>
            <w:proofErr w:type="gramEnd"/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Kg.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>Teslim Bedeli  (ÖTV ve KDV hariç)                              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3.000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 xml:space="preserve">Hesaplanan ÖTV </w:t>
            </w: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 xml:space="preserve">(1.000 </w:t>
            </w:r>
            <w:proofErr w:type="gramStart"/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x  2</w:t>
            </w:r>
            <w:proofErr w:type="gramEnd"/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 xml:space="preserve">,2985 =) </w:t>
            </w: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 xml:space="preserve">                            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2.298,50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>Alıcı</w:t>
            </w:r>
            <w:r w:rsidRPr="00946832">
              <w:rPr>
                <w:rFonts w:ascii="Times New Roman" w:eastAsia="ヒラギノ明朝Pro W3" w:hAnsi="Times New Roman" w:cs="Times New Roman"/>
                <w:sz w:val="18"/>
                <w:szCs w:val="18"/>
              </w:rPr>
              <w:t xml:space="preserve"> İmalatçı </w:t>
            </w: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 xml:space="preserve">Tarafından Tevkif Edilecek </w:t>
            </w:r>
            <w:proofErr w:type="gramStart"/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 xml:space="preserve">ÖTV </w:t>
            </w:r>
            <w:r w:rsidRPr="00946832">
              <w:rPr>
                <w:rFonts w:ascii="Times New Roman" w:eastAsia="Times New Roman" w:hAnsi="Times New Roman" w:cs="Times New Roman"/>
                <w:iCs/>
                <w:color w:val="FF0000"/>
                <w:sz w:val="18"/>
                <w:lang w:eastAsia="tr-TR"/>
              </w:rPr>
              <w:t xml:space="preserve">              </w:t>
            </w:r>
            <w:r w:rsidRPr="00946832">
              <w:rPr>
                <w:rFonts w:ascii="Times New Roman" w:eastAsia="Times New Roman" w:hAnsi="Times New Roman" w:cs="Times New Roman"/>
                <w:iCs/>
                <w:color w:val="000000"/>
                <w:sz w:val="18"/>
                <w:lang w:eastAsia="tr-TR"/>
              </w:rPr>
              <w:t xml:space="preserve"> :</w:t>
            </w:r>
            <w:proofErr w:type="gramEnd"/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2.298,50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KDV Matrahı (3.000 + 2.298,50 =)                                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5.298,50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lastRenderedPageBreak/>
              <w:t>Hesaplanan KDV (5.298,50 x 0,18 =)                            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953,73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 xml:space="preserve">Tevkifat </w:t>
            </w:r>
            <w:proofErr w:type="gramStart"/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Dahil</w:t>
            </w:r>
            <w:proofErr w:type="gramEnd"/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 xml:space="preserve"> Toplam Tutar (5.298,50 + 953,73 =)</w:t>
            </w:r>
            <w:r w:rsidRPr="00946832">
              <w:rPr>
                <w:rFonts w:ascii="Times New Roman" w:eastAsia="Times New Roman" w:hAnsi="Times New Roman" w:cs="Times New Roman"/>
                <w:iCs/>
                <w:color w:val="FF0000"/>
                <w:sz w:val="18"/>
                <w:lang w:eastAsia="tr-TR"/>
              </w:rPr>
              <w:t xml:space="preserve">      </w:t>
            </w: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 xml:space="preserve">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6.252,23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Tevkifat Hariç Toplam Tutar (6.252,23 - 2.298,50 =)       :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ind w:firstLine="709"/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3.953,73 TL</w:t>
            </w:r>
          </w:p>
        </w:tc>
      </w:tr>
      <w:tr w:rsidR="00946832" w:rsidRPr="00946832">
        <w:trPr>
          <w:trHeight w:val="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6832" w:rsidRPr="00946832" w:rsidRDefault="00946832" w:rsidP="009468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46832">
              <w:rPr>
                <w:rFonts w:ascii="Times New Roman" w:eastAsia="Times New Roman" w:hAnsi="Times New Roman" w:cs="Times New Roman"/>
                <w:iCs/>
                <w:sz w:val="18"/>
                <w:lang w:eastAsia="tr-TR"/>
              </w:rPr>
              <w:t>Yalnız Üçbindokuzyüzelliüç Türk Lirası Yetmişüç Kuruştur.</w:t>
            </w:r>
          </w:p>
        </w:tc>
      </w:tr>
    </w:tbl>
    <w:p w:rsidR="00946832" w:rsidRPr="00946832" w:rsidRDefault="00946832" w:rsidP="00946832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Bu belgeler,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teslimlere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ye tevkifat uyguland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tevsik eden belge mahiyetini de ta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maktad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tevkifata tabi olan ve olmayan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teslimlerine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fatura ve benzeri belgeler 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zenlenebilece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 gibi, tevkif edilen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bu belgelerde 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sterilmesi ko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uluyla tek bir belgenin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zenlenebilmesi de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5. TEVK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FAT UYGULAMASINDA 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ZELTME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ketim Vergisi Kanununun 15 inci maddesinin 1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i, tevkifata tabi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lemlerde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(mallar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iade edilmesi,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lemin ger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memesi,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lemden vazge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ilmesi, fazla veya yersiz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) halinde, vergiye tabi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lemleri yapm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olan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bunlarla ilgili bor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lan ya da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denen vergiler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in mahiyetine uygun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ekilde ve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 meydana geldi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labilir, bu vergiden mahsup edilebilir veya iade talebinde bulunulabilir.</w:t>
      </w:r>
      <w:proofErr w:type="gramEnd"/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5.1. Mallar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ade Edilmesi,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lemin Ger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memesi ve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lemden Vazge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ilmesi Hallerinde 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zeltme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Tevkifat uygulamas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teslimlerle ilgili olarak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iadesi,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lemin ger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memesi veya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lemden vazge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ilmesi durumunda, mallar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teslim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se iade edilen mallar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kellefinin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letmesine girmesi ve bu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lemlerin defter kay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 belgelerde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sterilmesi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lemi; bu durumun ortaya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neme ait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beyannamesinin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stisnalar ve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ndirimler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ndirimler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Tevkifata Tabi Teslimlerden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adeler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ilmek ve buna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ndirilecek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 (0)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lmak suretiyle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ca bu beyannamenin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Tevkifata Tabi Teslimlerden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adeler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da doldurulmas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Bu durumda, tevkifata tabi tutulan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TV,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inden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iadesi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lara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nin, internet vergi dairesi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zerinden KDV 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dairelerine elektronik ortamda verecekleri dilek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 ile bu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nemdeki veya gelecek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nemlerdeki (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hil) vergi bor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mahsuben veya nakden iadesi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 talepte bulunabileceklerdir.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Vergi dairesince, bu dilek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 ekinde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mal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iadesine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zeltmeyi yapt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sterir ilgili vergi dairesi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ibraz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 iadesi talep edilen verginin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beyan edilip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inin tespit edilmesi halinde,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konusu iade talepleri yerine getirilecektir.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TV'nin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beyan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ancak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sorumlu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beyan edilen bu vergi sadece tahakkuktan terkin edilecek,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olmayacakt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 iadelerde teminat, yeminli mali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avir raporu ve vergi inceleme raporu aranmayacakt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5.2. Fazla veya Yersiz Uygulanan Tevkifata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kin 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zeltme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fazla veya yersiz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denen verginin bulunmas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gerek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gerekse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kelleflerinin beyanlar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zeltilmesi gerekmektedir.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Fazla veya yersiz tevkif edilen vergi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ncelikle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yapan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edilecektir. Bu durumda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n, fazla veya yersiz tevkif etti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etti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sterir belge ve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zeltmeyi yapt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sterir vergi dairesi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ile birlikte ba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vurmas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fazla veya yersiz tevkif edilen vergi, bu vergiyi vergi dairesine beyan ederek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deyen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edilecektir.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Tevkifata tabi olmad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halde tevkifat uygulanan ve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da verginin beyan edildi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durumlarda,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zeltmeyi yapt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sterir vergi dairesi yaz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ibraz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aranmayacakt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Tevkifata tabi olan ve tevkifata tabi tutulan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da beyan edildi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durumda,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zeltmeyi yapmas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sonra, varsa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nceki beyan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nin,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lemle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edilecektir. Dolay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bu durumda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olmayacakt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 iadelerde teminat, yeminli mali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avir raporu ve vergi inceleme raporu aranmayacakt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Fazla veya yersiz tevkifata tabi tutulan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beyan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ancak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sorumlu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beyan edilen bu vergi sadece tahakkuktan terkin edilecek,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imalat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ya iade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 konusu olmayacakt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6. D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ER HUSUSLAR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6.1. Tevkifat Uygulamas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nda 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lmamas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 xml:space="preserve"> veya Tevkifata Tabi Tutulan Verginin Beyan Edilmemesi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4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maddesinin 2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 bu 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 sorumlu tayin edilenler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beyan edilip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denmesi gereken vergilerin beyan edilmemesi veya eksik beyan edilmesi halinde,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lastRenderedPageBreak/>
        <w:t>konusu vergi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213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Usul Kanunu h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re ikmalen veya re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sen tarh edilerek bu tarhiyata vergi ziya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cezas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kesilmesi ve gecikme faizi hesaplanmas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proofErr w:type="gramEnd"/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Sorumlu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yla beyan edilmeyen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(1) numaral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beyannamesinde indirim konusu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bu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lem tesis edilmesine engel de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Sorumlu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yla beyan edilmeyen veya eksik beyan edilen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n,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beyan edilmi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 sorumlu ad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 tarhiyatta vergi asl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aranmayacakt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Sorumlu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ndan beyan edilip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denmesi gerekirken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nin sat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ndan beyan edilerek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resinden sonra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halinde, normal vade tarihinden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i tarihe kadar;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z konusu verginin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halinde ise normal vade tarihinden yap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lacak tarhiyat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tahakkuk tarihine kadar gecikme faizi uygulanacakt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6.2. Tevkifat Uygulamas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nda M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b/>
          <w:sz w:val="18"/>
          <w:szCs w:val="18"/>
        </w:rPr>
        <w:t>teselsil Sorumluluk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kellefleri, tevkifata tabi mal al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nedeniyle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tevkifat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uygulayanlar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 tevkifat tutar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dememeleri halinde, tevkifat kapsam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ndaki teslimlere ili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TV ile s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zere Hazineye intikal etmeyen vergiden dolay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213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Vergi Usul Kanunu h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teselsilen sorumludurlar.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</w:rPr>
        <w:t>————————————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1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12/6/2002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tarihli ve 24783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2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10/1/1961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tarihli ve 10703-10705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Gazeteler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3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20/12/2003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tarihli ve 25322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Pr="00946832" w:rsidRDefault="00946832" w:rsidP="0094683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4683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4 </w:t>
      </w:r>
      <w:proofErr w:type="gramStart"/>
      <w:r w:rsidRPr="00946832">
        <w:rPr>
          <w:rFonts w:ascii="Times New Roman" w:eastAsia="ヒラギノ明朝 Pro W3" w:hAnsi="Times" w:cs="Times New Roman"/>
          <w:sz w:val="18"/>
          <w:szCs w:val="18"/>
        </w:rPr>
        <w:t>30/7/2002</w:t>
      </w:r>
      <w:proofErr w:type="gramEnd"/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tarihli ve 24831 say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4683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46832" w:rsidRDefault="0094683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94683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7" w:rsidRDefault="00987237" w:rsidP="00CE6B7C">
      <w:pPr>
        <w:spacing w:after="0" w:line="240" w:lineRule="auto"/>
      </w:pPr>
      <w:r>
        <w:separator/>
      </w:r>
    </w:p>
  </w:endnote>
  <w:endnote w:type="continuationSeparator" w:id="0">
    <w:p w:rsidR="00987237" w:rsidRDefault="0098723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173C3">
        <w:pPr>
          <w:pStyle w:val="Altbilgi"/>
          <w:jc w:val="center"/>
        </w:pPr>
        <w:fldSimple w:instr=" PAGE   \* MERGEFORMAT ">
          <w:r w:rsidR="0094683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7" w:rsidRDefault="00987237" w:rsidP="00CE6B7C">
      <w:pPr>
        <w:spacing w:after="0" w:line="240" w:lineRule="auto"/>
      </w:pPr>
      <w:r>
        <w:separator/>
      </w:r>
    </w:p>
  </w:footnote>
  <w:footnote w:type="continuationSeparator" w:id="0">
    <w:p w:rsidR="00987237" w:rsidRDefault="0098723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2484</Words>
  <Characters>14162</Characters>
  <Application>Microsoft Office Word</Application>
  <DocSecurity>0</DocSecurity>
  <Lines>118</Lines>
  <Paragraphs>33</Paragraphs>
  <ScaleCrop>false</ScaleCrop>
  <Company>TURMOB</Company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848</cp:revision>
  <cp:lastPrinted>2013-12-13T06:43:00Z</cp:lastPrinted>
  <dcterms:created xsi:type="dcterms:W3CDTF">2013-06-03T05:31:00Z</dcterms:created>
  <dcterms:modified xsi:type="dcterms:W3CDTF">2014-04-21T05:45:00Z</dcterms:modified>
</cp:coreProperties>
</file>