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6006EA" w:rsidRDefault="00436F57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EA703E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Ağustos </w:t>
      </w:r>
      <w:r w:rsidR="00112323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6006E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6006E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6006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6006E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6006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6006EA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87</w:t>
      </w:r>
      <w:proofErr w:type="gramEnd"/>
    </w:p>
    <w:p w:rsidR="009B20D0" w:rsidRDefault="009B20D0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6F57" w:rsidRPr="00436F57" w:rsidRDefault="00436F57" w:rsidP="00436F57">
      <w:pPr>
        <w:pStyle w:val="1-Baslk"/>
        <w:spacing w:line="240" w:lineRule="exact"/>
        <w:rPr>
          <w:b/>
          <w:sz w:val="18"/>
          <w:szCs w:val="18"/>
          <w:u w:val="none"/>
        </w:rPr>
      </w:pPr>
      <w:r w:rsidRPr="00436F57">
        <w:rPr>
          <w:b/>
          <w:sz w:val="18"/>
          <w:szCs w:val="18"/>
          <w:u w:val="none"/>
        </w:rPr>
        <w:t>G</w:t>
      </w:r>
      <w:r w:rsidRPr="00436F57">
        <w:rPr>
          <w:b/>
          <w:sz w:val="18"/>
          <w:szCs w:val="18"/>
          <w:u w:val="none"/>
        </w:rPr>
        <w:t>ı</w:t>
      </w:r>
      <w:r w:rsidRPr="00436F57">
        <w:rPr>
          <w:b/>
          <w:sz w:val="18"/>
          <w:szCs w:val="18"/>
          <w:u w:val="none"/>
        </w:rPr>
        <w:t>da, Tar</w:t>
      </w:r>
      <w:r w:rsidRPr="00436F57">
        <w:rPr>
          <w:b/>
          <w:sz w:val="18"/>
          <w:szCs w:val="18"/>
          <w:u w:val="none"/>
        </w:rPr>
        <w:t>ı</w:t>
      </w:r>
      <w:r w:rsidRPr="00436F57">
        <w:rPr>
          <w:b/>
          <w:sz w:val="18"/>
          <w:szCs w:val="18"/>
          <w:u w:val="none"/>
        </w:rPr>
        <w:t>m ve Hayvanc</w:t>
      </w:r>
      <w:r w:rsidRPr="00436F57">
        <w:rPr>
          <w:b/>
          <w:sz w:val="18"/>
          <w:szCs w:val="18"/>
          <w:u w:val="none"/>
        </w:rPr>
        <w:t>ı</w:t>
      </w:r>
      <w:r w:rsidRPr="00436F57">
        <w:rPr>
          <w:b/>
          <w:sz w:val="18"/>
          <w:szCs w:val="18"/>
          <w:u w:val="none"/>
        </w:rPr>
        <w:t>l</w:t>
      </w:r>
      <w:r w:rsidRPr="00436F57">
        <w:rPr>
          <w:b/>
          <w:sz w:val="18"/>
          <w:szCs w:val="18"/>
          <w:u w:val="none"/>
        </w:rPr>
        <w:t>ı</w:t>
      </w:r>
      <w:r w:rsidRPr="00436F57">
        <w:rPr>
          <w:b/>
          <w:sz w:val="18"/>
          <w:szCs w:val="18"/>
          <w:u w:val="none"/>
        </w:rPr>
        <w:t>k Bakanl</w:t>
      </w:r>
      <w:r w:rsidRPr="00436F57">
        <w:rPr>
          <w:b/>
          <w:sz w:val="18"/>
          <w:szCs w:val="18"/>
          <w:u w:val="none"/>
        </w:rPr>
        <w:t>ığı</w:t>
      </w:r>
      <w:r w:rsidRPr="00436F57">
        <w:rPr>
          <w:b/>
          <w:sz w:val="18"/>
          <w:szCs w:val="18"/>
          <w:u w:val="none"/>
        </w:rPr>
        <w:t>ndan:</w:t>
      </w:r>
    </w:p>
    <w:p w:rsidR="00436F57" w:rsidRDefault="00436F57" w:rsidP="00436F57">
      <w:pPr>
        <w:pStyle w:val="1-Baslk"/>
        <w:spacing w:line="240" w:lineRule="exact"/>
        <w:rPr>
          <w:sz w:val="18"/>
          <w:szCs w:val="18"/>
        </w:rPr>
      </w:pPr>
    </w:p>
    <w:p w:rsidR="00436F57" w:rsidRDefault="00436F57" w:rsidP="00436F57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YE TARIM HAVZALARI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VE DESTEKLEME MODEL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</w:t>
      </w:r>
    </w:p>
    <w:p w:rsidR="00436F57" w:rsidRDefault="00436F57" w:rsidP="00436F5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NE 2014 YILI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>N</w:t>
      </w:r>
    </w:p>
    <w:p w:rsidR="00436F57" w:rsidRDefault="00436F57" w:rsidP="00436F57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DESTE</w:t>
      </w:r>
      <w:r>
        <w:rPr>
          <w:sz w:val="18"/>
          <w:szCs w:val="18"/>
        </w:rPr>
        <w:t>Ğİ</w:t>
      </w:r>
      <w:r>
        <w:rPr>
          <w:sz w:val="18"/>
          <w:szCs w:val="18"/>
        </w:rPr>
        <w:t xml:space="preserve">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436F57" w:rsidRDefault="00436F57" w:rsidP="00436F57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2014/37)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proofErr w:type="gramStart"/>
      <w:r>
        <w:rPr>
          <w:sz w:val="18"/>
          <w:szCs w:val="18"/>
        </w:rPr>
        <w:t>7/4/2014</w:t>
      </w:r>
      <w:proofErr w:type="gramEnd"/>
      <w:r>
        <w:rPr>
          <w:sz w:val="18"/>
          <w:szCs w:val="18"/>
        </w:rPr>
        <w:t xml:space="preserve"> tarihli ve 2014/6091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Desteklemelere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Kararda belirtilen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Karadeniz,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oruh ve Orta Karadeniz havzalar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desteklemeye esas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sezonunda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 ve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yapra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verilecek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; </w:t>
      </w:r>
      <w:proofErr w:type="gramStart"/>
      <w:r>
        <w:rPr>
          <w:sz w:val="18"/>
          <w:szCs w:val="18"/>
        </w:rPr>
        <w:t>2/4/2012</w:t>
      </w:r>
      <w:proofErr w:type="gramEnd"/>
      <w:r>
        <w:rPr>
          <w:sz w:val="18"/>
          <w:szCs w:val="18"/>
        </w:rPr>
        <w:t xml:space="preserve"> tarihli ve 2012/3067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konulan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 ve Bu Alanlarda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Ruhsatname Verilmesine Dair Karar ile belirlenen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retime izin verilen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AY-KUR)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 kontrolleri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yapra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reterek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desteklenmesini kapsar.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7/4/2014</w:t>
      </w:r>
      <w:proofErr w:type="gramEnd"/>
      <w:r>
        <w:rPr>
          <w:sz w:val="18"/>
          <w:szCs w:val="18"/>
        </w:rPr>
        <w:t xml:space="preserve"> tarihli ve 2014/6091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Desteklemelere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Belirlenmesi ve Bu Alanlarda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Ruhsatname Verilmesine Dair Karar ile belirlenen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retimine izin verilen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AY-KUR: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Kararname: </w:t>
      </w:r>
      <w:proofErr w:type="gramStart"/>
      <w:r>
        <w:rPr>
          <w:sz w:val="18"/>
          <w:szCs w:val="18"/>
        </w:rPr>
        <w:t>7/4/2014</w:t>
      </w:r>
      <w:proofErr w:type="gramEnd"/>
      <w:r>
        <w:rPr>
          <w:sz w:val="18"/>
          <w:szCs w:val="18"/>
        </w:rPr>
        <w:t xml:space="preserve"> tarihli ve 2014/6091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Kararnameyi,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letmeleri: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reticilerden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tescil ettiren ticari firmalar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alan: Ruhsatnamede belirtilen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sezonu: </w:t>
      </w:r>
      <w:proofErr w:type="gramStart"/>
      <w:r>
        <w:rPr>
          <w:sz w:val="18"/>
          <w:szCs w:val="18"/>
        </w:rPr>
        <w:t>26/4/2014</w:t>
      </w:r>
      <w:proofErr w:type="gramEnd"/>
      <w:r>
        <w:rPr>
          <w:sz w:val="18"/>
          <w:szCs w:val="18"/>
        </w:rPr>
        <w:t>-31/12/2014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lacak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reticiler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demeler;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 olup Kararnameden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kararnameler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faydalanmak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kamu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ve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sezonunda 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devam eden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 ile ilk defa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yapra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reterek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yapan,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 miktar</w:t>
      </w:r>
      <w:r>
        <w:rPr>
          <w:b/>
          <w:sz w:val="18"/>
          <w:szCs w:val="18"/>
        </w:rPr>
        <w:t>ı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 inci maddede belirtilen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kilogram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na, 12 kuru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olarak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Finansman ve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2015 Mali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esinin ilgili harcama kaleminden,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kaynak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ilgili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destek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0,1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hizmet komisyonu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>, % 0,2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komisyonu ise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</w:t>
      </w:r>
      <w:r>
        <w:rPr>
          <w:sz w:val="18"/>
          <w:szCs w:val="18"/>
        </w:rPr>
        <w:t>Ş</w:t>
      </w:r>
      <w:r>
        <w:rPr>
          <w:sz w:val="18"/>
          <w:szCs w:val="18"/>
        </w:rPr>
        <w:t>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kaynak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teakip,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bankalardaki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hesaplara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reticinin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bankada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lmaz.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hesap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 kurum ve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 olup, Kararnameden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kararnameler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 faydalanmak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kamu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ve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sezonunda 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devam eden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belgeleri,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erlidir. </w:t>
      </w:r>
      <w:proofErr w:type="gramEnd"/>
      <w:r>
        <w:rPr>
          <w:sz w:val="18"/>
          <w:szCs w:val="18"/>
        </w:rPr>
        <w:t xml:space="preserve">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satt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Ancak kamu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satt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nedeniyle, bu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ilk defa yararlanmak isteyenler ile bu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satan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reticiler, </w:t>
      </w:r>
      <w:proofErr w:type="gramStart"/>
      <w:r>
        <w:rPr>
          <w:sz w:val="18"/>
          <w:szCs w:val="18"/>
        </w:rPr>
        <w:t>26/12/2014</w:t>
      </w:r>
      <w:proofErr w:type="gramEnd"/>
      <w:r>
        <w:rPr>
          <w:sz w:val="18"/>
          <w:szCs w:val="18"/>
        </w:rPr>
        <w:t xml:space="preserve"> tarihi mesai bitimine kadar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belgesi ve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 ederek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satt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ve/veya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vururlar.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belgesinin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verilmesi zorunludur.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Fark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demesi deste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ine esas ya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tescili, onay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icmallerin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rlanmas</w:t>
      </w:r>
      <w:r>
        <w:rPr>
          <w:b/>
          <w:sz w:val="18"/>
          <w:szCs w:val="18"/>
        </w:rPr>
        <w:t>ı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letmeleri, </w:t>
      </w: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ilgili maddeleri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stahsil makbuzu veya fatura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tahakkuk bordrosu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suretiyle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tescil ettirirler.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tescil edilmesi,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stahsil makbuzu ve/veya fatura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tahakkuk bordrosu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sureti ile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Tescil edilen miktar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rultusunda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faydalanacak olan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tarihinin bitimini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ye,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icmaller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bu icmaller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onaylatt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kendilerine tescil ettirilen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fark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bildirir.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icmallerin (ek-3)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toplam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icmali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onaylar.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icmal (ek-4), borsa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gerek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iki suret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nderilir. Teslim edilen icmalin bir sureti,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konularak ilgili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icmaller (ek-3),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yer alan icmal ile birlikte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teslim edilir.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ait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icmallerindeki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kendi icmallerindeki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tirilir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satm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toplam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belirlenir.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icmal (ek-5)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Fark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demesi deste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ine esas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retici icmallerinin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dikkat edilecek hususlar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tescil ettirilmeyen miktarlar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stahsil makbuzu ve/veya fatura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tahakkuk bordrosu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stahsil makbuzu ve/veya fatura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tahakkuk bordrosu hangi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icmali de mutlak surette o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zenlenecek olan icmal (ek-2),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Birden fazla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reticilerin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 bir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zdanda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tirilmek suretiyle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icmal (ek-3), borsada tescil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isme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letmeleri;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icmallerini (ek-3),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reticinin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kendisine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satan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reticinin birden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her bir fabrika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reticinin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toplam fabrika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kadar icmal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rlanacak olan icmalde (ek-3)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reticiye ait destekleme bilgileri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bir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rda belirtilir.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birden fazla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rda destekleme bilgileri belirtilmez.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rlanacak olan icmalde (ek-3),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Ruhsat No.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 No.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tunlar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ruhsat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baba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cmallerde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belirtilmeyen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lmaz.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demesine esas icmaller bilgisayar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icmallerin her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sezonunda satm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toplam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hesaplanan destek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 icmalleri (ek-5),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ait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karma, indirme, tarih ve saati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lastRenderedPageBreak/>
        <w:t>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herhangi bir itiraz olmaz ise icmallerdeki bilgiler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kabul edilir. Daha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herhangi bir itiraz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 ve herhangi bir hak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urmaz.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</w:t>
      </w:r>
      <w:proofErr w:type="spellStart"/>
      <w:r>
        <w:rPr>
          <w:sz w:val="18"/>
          <w:szCs w:val="18"/>
        </w:rPr>
        <w:t>KUR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ait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icmallerin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kalma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zarf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maddi hatalara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itirazlar,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bitiminden itibaren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itirazlar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sonucunda icmallerde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icmaller yeniden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icmallerdeki destek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tahsisi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icmallerin (ek-3 ve ek-4)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Tespit edilen hatalar,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letmeye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bildirilerek birlikte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AY-KUR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reticilik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icmal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reticilerin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yararlanamayacaklar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bildirilir.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Fark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demesi deste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inden yararlanamayacak olanlar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cbir sebepler,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faydalanacak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deprem ve sel gibi tabi afetler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reticiler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yararlanamazlar.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9 uncu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istenilen belgelerle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listelerinde ismi bulunmayan veya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sonuna kadar hatal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Ruhsats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sezonundan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sona erenler,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Denetim, haks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z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demelerin geri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hak mahrumiyeti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demelerinin denetimini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almaya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yetkilidir. Bu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ziraat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hizmetlerinden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merciler, kendilerine ibraz edilen belgelerin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 kendi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belgelerden sorumludurlar.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getirmeyerek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neden olanlar ile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yere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demelerden yararlanmak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sahte veya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itibariyle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ve kullananlar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cezai, hukuki ve idari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tarihinden itibaren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kanun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faizi ile birlikte,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belge veya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tahsilinde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sorumlu tutulurlar.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ile belirlenen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demelerinden, idari hata sonucu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destekleme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Sorumluluk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yapra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ilgili maddeleri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stahsil makbuzu veya fatura ile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tahakkuk bordrosu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zenleyerek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reticiye vermek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belgelerin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zenledikleri bilgi ve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undan sorumludurlar.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teslim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halde,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 vermeyen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ilgili maddeleri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ceza kovu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kanun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belgelerin suretlerini kontrol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muhafaza ederler.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11/9/2013</w:t>
      </w:r>
      <w:proofErr w:type="gramEnd"/>
      <w:r>
        <w:rPr>
          <w:sz w:val="18"/>
          <w:szCs w:val="18"/>
        </w:rPr>
        <w:t xml:space="preserve"> tarihli ve 28762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Havzalar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 Destekleme Modeline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reticilerine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ay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Fark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2013/56)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36F57" w:rsidRDefault="00436F57" w:rsidP="00436F5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36F57" w:rsidRDefault="00436F57" w:rsidP="00436F57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436F57" w:rsidRDefault="00436F57" w:rsidP="00436F57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</w:t>
        </w:r>
      </w:hyperlink>
    </w:p>
    <w:p w:rsidR="00436F57" w:rsidRPr="006006EA" w:rsidRDefault="00436F57" w:rsidP="006006E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36F57" w:rsidRPr="006006E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28" w:rsidRDefault="00CD1128" w:rsidP="00CE6B7C">
      <w:pPr>
        <w:spacing w:after="0" w:line="240" w:lineRule="auto"/>
      </w:pPr>
      <w:r>
        <w:separator/>
      </w:r>
    </w:p>
  </w:endnote>
  <w:endnote w:type="continuationSeparator" w:id="0">
    <w:p w:rsidR="00CD1128" w:rsidRDefault="00CD112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4204CA">
        <w:pPr>
          <w:pStyle w:val="Altbilgi"/>
          <w:jc w:val="center"/>
        </w:pPr>
        <w:fldSimple w:instr=" PAGE   \* MERGEFORMAT ">
          <w:r w:rsidR="00436F57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28" w:rsidRDefault="00CD1128" w:rsidP="00CE6B7C">
      <w:pPr>
        <w:spacing w:after="0" w:line="240" w:lineRule="auto"/>
      </w:pPr>
      <w:r>
        <w:separator/>
      </w:r>
    </w:p>
  </w:footnote>
  <w:footnote w:type="continuationSeparator" w:id="0">
    <w:p w:rsidR="00CD1128" w:rsidRDefault="00CD112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5CB8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1909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6812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2A31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2FB4"/>
    <w:rsid w:val="00155E54"/>
    <w:rsid w:val="0015615A"/>
    <w:rsid w:val="00161128"/>
    <w:rsid w:val="0016125C"/>
    <w:rsid w:val="0016294B"/>
    <w:rsid w:val="0016627D"/>
    <w:rsid w:val="00166CC0"/>
    <w:rsid w:val="0017175A"/>
    <w:rsid w:val="001727CC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D86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A75CC"/>
    <w:rsid w:val="003B135D"/>
    <w:rsid w:val="003B147D"/>
    <w:rsid w:val="003B1521"/>
    <w:rsid w:val="003B223F"/>
    <w:rsid w:val="003B5AC1"/>
    <w:rsid w:val="003B712C"/>
    <w:rsid w:val="003C0BAB"/>
    <w:rsid w:val="003C2CB2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D7CFF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04CA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36F5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D5094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108"/>
    <w:rsid w:val="00500FD6"/>
    <w:rsid w:val="00501287"/>
    <w:rsid w:val="005100B6"/>
    <w:rsid w:val="005130FE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5BB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4B5D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06EA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6AC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591B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0C3C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087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34B6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6C1A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A5D17"/>
    <w:rsid w:val="00CB37EF"/>
    <w:rsid w:val="00CC2612"/>
    <w:rsid w:val="00CC3CC5"/>
    <w:rsid w:val="00CC5847"/>
    <w:rsid w:val="00CC6F0B"/>
    <w:rsid w:val="00CC7ED2"/>
    <w:rsid w:val="00CC7F48"/>
    <w:rsid w:val="00CD0082"/>
    <w:rsid w:val="00CD078F"/>
    <w:rsid w:val="00CD0DD0"/>
    <w:rsid w:val="00CD1128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6DF3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42D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4BC4"/>
    <w:rsid w:val="00D6634C"/>
    <w:rsid w:val="00D71C2E"/>
    <w:rsid w:val="00D737E9"/>
    <w:rsid w:val="00D75065"/>
    <w:rsid w:val="00D76053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8/20140813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1077</cp:revision>
  <cp:lastPrinted>2013-12-13T06:43:00Z</cp:lastPrinted>
  <dcterms:created xsi:type="dcterms:W3CDTF">2013-06-03T05:31:00Z</dcterms:created>
  <dcterms:modified xsi:type="dcterms:W3CDTF">2014-08-13T05:33:00Z</dcterms:modified>
</cp:coreProperties>
</file>