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6D8" w:rsidRDefault="00E726D8"/>
    <w:tbl>
      <w:tblPr>
        <w:tblW w:w="8789" w:type="dxa"/>
        <w:jc w:val="center"/>
        <w:tblLook w:val="01E0"/>
      </w:tblPr>
      <w:tblGrid>
        <w:gridCol w:w="2931"/>
        <w:gridCol w:w="2931"/>
        <w:gridCol w:w="2927"/>
      </w:tblGrid>
      <w:tr w:rsidR="00E726D8" w:rsidRPr="00E726D8">
        <w:trPr>
          <w:trHeight w:val="317"/>
          <w:jc w:val="center"/>
        </w:trPr>
        <w:tc>
          <w:tcPr>
            <w:tcW w:w="2931" w:type="dxa"/>
            <w:tcBorders>
              <w:top w:val="nil"/>
              <w:left w:val="nil"/>
              <w:bottom w:val="single" w:sz="4" w:space="0" w:color="660066"/>
              <w:right w:val="nil"/>
            </w:tcBorders>
            <w:vAlign w:val="center"/>
            <w:hideMark/>
          </w:tcPr>
          <w:p w:rsidR="00E726D8" w:rsidRPr="00E726D8" w:rsidRDefault="00E726D8" w:rsidP="00E726D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726D8">
              <w:rPr>
                <w:rFonts w:ascii="Arial" w:eastAsia="Times New Roman" w:hAnsi="Arial" w:cs="Arial"/>
                <w:sz w:val="16"/>
                <w:szCs w:val="16"/>
                <w:lang w:eastAsia="tr-TR"/>
              </w:rPr>
              <w:t>27 Ağustos 2014  ÇARŞAMBA</w:t>
            </w:r>
          </w:p>
        </w:tc>
        <w:tc>
          <w:tcPr>
            <w:tcW w:w="2931" w:type="dxa"/>
            <w:tcBorders>
              <w:top w:val="nil"/>
              <w:left w:val="nil"/>
              <w:bottom w:val="single" w:sz="4" w:space="0" w:color="660066"/>
              <w:right w:val="nil"/>
            </w:tcBorders>
            <w:vAlign w:val="center"/>
            <w:hideMark/>
          </w:tcPr>
          <w:p w:rsidR="00E726D8" w:rsidRPr="00E726D8" w:rsidRDefault="00E726D8" w:rsidP="00E726D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726D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726D8" w:rsidRPr="00E726D8" w:rsidRDefault="00E726D8" w:rsidP="00E726D8">
            <w:pPr>
              <w:spacing w:before="100" w:beforeAutospacing="1" w:after="100" w:afterAutospacing="1" w:line="240" w:lineRule="auto"/>
              <w:jc w:val="right"/>
              <w:rPr>
                <w:rFonts w:ascii="Arial" w:eastAsia="Times New Roman" w:hAnsi="Arial" w:cs="Arial"/>
                <w:sz w:val="16"/>
                <w:szCs w:val="16"/>
                <w:lang w:eastAsia="tr-TR"/>
              </w:rPr>
            </w:pPr>
            <w:r w:rsidRPr="00E726D8">
              <w:rPr>
                <w:rFonts w:ascii="Arial" w:eastAsia="Times New Roman" w:hAnsi="Arial" w:cs="Arial"/>
                <w:sz w:val="16"/>
                <w:szCs w:val="16"/>
                <w:lang w:eastAsia="tr-TR"/>
              </w:rPr>
              <w:t>Sayı : 29101</w:t>
            </w:r>
          </w:p>
        </w:tc>
      </w:tr>
      <w:tr w:rsidR="00E726D8" w:rsidRPr="00E726D8">
        <w:trPr>
          <w:trHeight w:val="480"/>
          <w:jc w:val="center"/>
        </w:trPr>
        <w:tc>
          <w:tcPr>
            <w:tcW w:w="8789" w:type="dxa"/>
            <w:gridSpan w:val="3"/>
            <w:vAlign w:val="center"/>
            <w:hideMark/>
          </w:tcPr>
          <w:p w:rsidR="00E726D8" w:rsidRPr="00E726D8" w:rsidRDefault="00E726D8" w:rsidP="00E726D8">
            <w:pPr>
              <w:spacing w:before="100" w:beforeAutospacing="1" w:after="100" w:afterAutospacing="1" w:line="240" w:lineRule="auto"/>
              <w:jc w:val="center"/>
              <w:rPr>
                <w:rFonts w:ascii="Arial" w:eastAsia="Times New Roman" w:hAnsi="Arial" w:cs="Arial"/>
                <w:b/>
                <w:color w:val="000080"/>
                <w:sz w:val="18"/>
                <w:szCs w:val="18"/>
                <w:lang w:eastAsia="tr-TR"/>
              </w:rPr>
            </w:pPr>
            <w:r w:rsidRPr="00E726D8">
              <w:rPr>
                <w:rFonts w:ascii="Arial" w:eastAsia="Times New Roman" w:hAnsi="Arial" w:cs="Arial"/>
                <w:b/>
                <w:color w:val="000080"/>
                <w:sz w:val="18"/>
                <w:szCs w:val="18"/>
                <w:lang w:eastAsia="tr-TR"/>
              </w:rPr>
              <w:t>YÖNETMELİK</w:t>
            </w:r>
          </w:p>
        </w:tc>
      </w:tr>
      <w:tr w:rsidR="00E726D8" w:rsidRPr="00E726D8">
        <w:trPr>
          <w:trHeight w:val="480"/>
          <w:jc w:val="center"/>
        </w:trPr>
        <w:tc>
          <w:tcPr>
            <w:tcW w:w="8789" w:type="dxa"/>
            <w:gridSpan w:val="3"/>
            <w:vAlign w:val="center"/>
          </w:tcPr>
          <w:p w:rsidR="00E726D8" w:rsidRDefault="00E726D8" w:rsidP="00E726D8">
            <w:pPr>
              <w:tabs>
                <w:tab w:val="left" w:pos="566"/>
              </w:tabs>
              <w:spacing w:after="0" w:line="240" w:lineRule="exact"/>
              <w:rPr>
                <w:rFonts w:ascii="Times New Roman" w:eastAsia="ヒラギノ明朝 Pro W3" w:hAnsi="Times New Roman" w:cs="Times New Roman"/>
                <w:sz w:val="18"/>
                <w:szCs w:val="18"/>
                <w:u w:val="single"/>
              </w:rPr>
            </w:pPr>
            <w:r w:rsidRPr="00E726D8">
              <w:rPr>
                <w:rFonts w:ascii="Times New Roman" w:eastAsia="ヒラギノ明朝 Pro W3" w:hAnsi="Times New Roman" w:cs="Times New Roman"/>
                <w:sz w:val="18"/>
                <w:szCs w:val="18"/>
                <w:u w:val="single"/>
              </w:rPr>
              <w:t>Ulaştırma, Denizcilik ve Haberleşme Bakanlığından:</w:t>
            </w:r>
          </w:p>
          <w:p w:rsidR="00E726D8" w:rsidRPr="00E726D8" w:rsidRDefault="00E726D8" w:rsidP="00E726D8">
            <w:pPr>
              <w:tabs>
                <w:tab w:val="left" w:pos="566"/>
              </w:tabs>
              <w:spacing w:after="0" w:line="240" w:lineRule="exact"/>
              <w:rPr>
                <w:rFonts w:ascii="Times New Roman" w:eastAsia="ヒラギノ明朝 Pro W3" w:hAnsi="Times New Roman" w:cs="Times New Roman"/>
                <w:sz w:val="18"/>
                <w:szCs w:val="18"/>
                <w:u w:val="single"/>
              </w:rPr>
            </w:pPr>
          </w:p>
          <w:p w:rsidR="00E726D8" w:rsidRPr="00E726D8" w:rsidRDefault="00E726D8" w:rsidP="00E726D8">
            <w:pPr>
              <w:spacing w:after="0" w:line="240" w:lineRule="exact"/>
              <w:jc w:val="center"/>
              <w:rPr>
                <w:rFonts w:ascii="Times New Roman" w:eastAsia="ヒラギノ明朝 Pro W3" w:hAnsi="Times New Roman" w:cs="Times New Roman"/>
                <w:b/>
                <w:sz w:val="18"/>
                <w:szCs w:val="18"/>
              </w:rPr>
            </w:pPr>
            <w:r w:rsidRPr="00E726D8">
              <w:rPr>
                <w:rFonts w:ascii="Times New Roman" w:eastAsia="ヒラギノ明朝 Pro W3" w:hAnsi="Times New Roman" w:cs="Times New Roman"/>
                <w:b/>
                <w:sz w:val="18"/>
                <w:szCs w:val="18"/>
              </w:rPr>
              <w:t>TEHLİKELİ MADDELERİN KARAYOLUYLA TAŞINMASI HAKKINDA</w:t>
            </w:r>
          </w:p>
          <w:p w:rsidR="00E726D8" w:rsidRPr="00E726D8" w:rsidRDefault="00E726D8" w:rsidP="00E726D8">
            <w:pPr>
              <w:spacing w:after="0" w:line="240" w:lineRule="exact"/>
              <w:jc w:val="center"/>
              <w:rPr>
                <w:rFonts w:ascii="Times New Roman" w:eastAsia="ヒラギノ明朝 Pro W3" w:hAnsi="Times New Roman" w:cs="Times New Roman"/>
                <w:b/>
                <w:sz w:val="18"/>
                <w:szCs w:val="18"/>
              </w:rPr>
            </w:pPr>
            <w:r w:rsidRPr="00E726D8">
              <w:rPr>
                <w:rFonts w:ascii="Times New Roman" w:eastAsia="ヒラギノ明朝 Pro W3" w:hAnsi="Times New Roman" w:cs="Times New Roman"/>
                <w:b/>
                <w:sz w:val="18"/>
                <w:szCs w:val="18"/>
              </w:rPr>
              <w:t>YÖNETMELİKTE DEĞİŞİKLİK YAPILMASINA DAİR YÖNETMELİK</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bCs/>
                <w:sz w:val="18"/>
                <w:szCs w:val="18"/>
              </w:rPr>
              <w:t>MADDE 1 –</w:t>
            </w:r>
            <w:r w:rsidRPr="00E726D8">
              <w:rPr>
                <w:rFonts w:ascii="Times New Roman" w:eastAsia="ヒラギノ明朝 Pro W3" w:hAnsi="Times New Roman" w:cs="Times New Roman"/>
                <w:sz w:val="18"/>
                <w:szCs w:val="18"/>
              </w:rPr>
              <w:t xml:space="preserve"> 24/10/2013 tarihli ve 28801 sayılı Resmî Gazete’de yayımlanan Tehlikeli Maddelerin Karayoluyla Taşınması Hakkında Yönetmeliğin 4 üncü maddesinin birinci fıkrasının (ğ) ve (s) bentleri aşağıdaki şekilde değiştirilmiştir.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“ğ) Gönderen: Eşyayı taşımacıya teslim eden, alıcıyı belirleyen ve taşıma evrakını imzalayan kişiyi veya taşıma işlemi bir taşıma sözleşmesine bağlı olarak yürütülüyorsa sözleşmede “Gönderen” olarak belirtilen kişiyi,”</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“s) Taşımacı: Karayolu Taşıma Yönetmeliğine göre C1, C2, K1, K2, L1, L2, M1, M2, M3, N1, N2, R1, R2 yetki belgesi sahiplerini,”</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sz w:val="18"/>
                <w:szCs w:val="18"/>
              </w:rPr>
              <w:t>MADDE 2 –</w:t>
            </w:r>
            <w:r w:rsidRPr="00E726D8">
              <w:rPr>
                <w:rFonts w:ascii="Times New Roman" w:eastAsia="ヒラギノ明朝 Pro W3" w:hAnsi="Times New Roman" w:cs="Times New Roman"/>
                <w:sz w:val="18"/>
                <w:szCs w:val="18"/>
              </w:rPr>
              <w:t xml:space="preserve"> Aynı Yönetmeliğin 5 inci maddesinin dördüncü fıkrası aşağıdaki şekilde değiştirilmiştir.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“(4) Tehlikeli maddelerin karayolu ile taşınmasında; ADR Bölüm 6’da tanımlanan ve Bakanlıkça veya ADR’ye taraf bir ülkenin yetkili otoritesince yetkilendirilmiş kuruluşlar tarafından test edilip UN Numarası verilerek sertifikalandırılmış olan ambalajların kullanılması zorunludur.”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sz w:val="18"/>
                <w:szCs w:val="18"/>
              </w:rPr>
              <w:t>MADDE 3 –</w:t>
            </w:r>
            <w:r w:rsidRPr="00E726D8">
              <w:rPr>
                <w:rFonts w:ascii="Times New Roman" w:eastAsia="ヒラギノ明朝 Pro W3" w:hAnsi="Times New Roman" w:cs="Times New Roman"/>
                <w:sz w:val="18"/>
                <w:szCs w:val="18"/>
              </w:rPr>
              <w:t xml:space="preserve"> Aynı Yönetmeliğin 6 ncı maddesinin birinci fıkrası aşağıdaki şekilde değiştirilmiştir.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“(1) Bu Yönetmelik kapsamında taşımacılık faaliyetinde bulunacak gerçek ve tüzel kişiler, Karayolu Taşıma Yönetmeliğine göre C1, C2, K1, K2, L1, L2, M1, M2, M3, N1, N2, R1, R2 yetki belgelerinden herhangi birine sahip olmak zorundadırlar.”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sz w:val="18"/>
                <w:szCs w:val="18"/>
              </w:rPr>
              <w:t>MADDE 4 –</w:t>
            </w:r>
            <w:r w:rsidRPr="00E726D8">
              <w:rPr>
                <w:rFonts w:ascii="Times New Roman" w:eastAsia="ヒラギノ明朝 Pro W3" w:hAnsi="Times New Roman" w:cs="Times New Roman"/>
                <w:sz w:val="18"/>
                <w:szCs w:val="18"/>
              </w:rPr>
              <w:t xml:space="preserve"> Aynı Yönetmeliğin 15 inci maddesinin birinci fıkrasının (j) bendi yürürlükten kaldırılmıştır.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sz w:val="18"/>
                <w:szCs w:val="18"/>
              </w:rPr>
              <w:t>MADDE 5 –</w:t>
            </w:r>
            <w:r w:rsidRPr="00E726D8">
              <w:rPr>
                <w:rFonts w:ascii="Times New Roman" w:eastAsia="ヒラギノ明朝 Pro W3" w:hAnsi="Times New Roman" w:cs="Times New Roman"/>
                <w:sz w:val="18"/>
                <w:szCs w:val="18"/>
              </w:rPr>
              <w:t xml:space="preserve"> Aynı Yönetmeliğin Geçici 1 inci maddesi aşağıdaki şekilde değiştirilmiştir.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w:t>
            </w:r>
            <w:r w:rsidRPr="00E726D8">
              <w:rPr>
                <w:rFonts w:ascii="Times New Roman" w:eastAsia="ヒラギノ明朝 Pro W3" w:hAnsi="Times New Roman" w:cs="Times New Roman"/>
                <w:b/>
                <w:sz w:val="18"/>
                <w:szCs w:val="18"/>
              </w:rPr>
              <w:t>GEÇİCİ MADDE 1 –</w:t>
            </w:r>
            <w:r w:rsidRPr="00E726D8">
              <w:rPr>
                <w:rFonts w:ascii="Times New Roman" w:eastAsia="ヒラギノ明朝 Pro W3" w:hAnsi="Times New Roman" w:cs="Times New Roman"/>
                <w:sz w:val="18"/>
                <w:szCs w:val="18"/>
              </w:rPr>
              <w:t xml:space="preserve"> (1) Tehlikeli maddelerin yurt içindeki taşınmasında kullanılan ve bu Yönetmeliğin yürürlüğe girdiği tarihte trafik siciline tescilli ve Taşıt Uygunluk Belgesi/ADR Uygunluk Belgesi bulunmayan taşıt sahipleri; taşıtın ADR’ye uygunluğunu değerlendirmek üzere Bakanlığın yetkilendirdiği kurum/kuruluşlara aşağıdaki takvime uygun olarak başvuruda bulunmak zorundadırlar. Belirtilen tarih aralığından önce, taşıtlarına uygunluk değerlendirmesi yaptırmak isteyenlerin, yetkilendirilmiş kuruluşa bildirimde bulunup alınacak randevuya göre hareket etmesi zorunludur. Yapılacak inceleme sonucuna bağlı olarak Bakanlığın belirleyeceği usul ve esaslara göre ilgili taşıta Taşıt Uygunluk Belgesi veya Taşıt Durum Tespit Belgesi düzenlenir.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a) 2006-2013 model taşıtlar 30/6/2015 tarihine kadar,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b) 2000-2005 model taşıtlar 1/7/2015-31/12/2015 tarihleri arasında,</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c) 1996-1999 model taşıtlar 1/1/2016-30/6/2016 tarihleri arasında,</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ç) 1990-1995 model taşıtlar 1/7/2016-31/12/2016 tarihleri arasında,</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d) 1986-1989 model taşıtlar  1/1/2017-30/6/2017 tarihleri arasında,</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e) 1985 model ve öncesi taşıtlar 1/7/2017-30/6/2018 tarihleri arasında.</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(2) Tehlikeli maddelerin yurt içindeki taşınmasında kullanılan ve bu Yönetmeliğin yürürlüğe girdiği tarihte trafik siciline tescilli ve Taşıt Uygunluk Belgesi/ADR Uygunluk Belgesi bulunmayan taşıt sahipleri;</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a) 2006-2013 model taşıtlar için  31/12/2015 tarihine kadar,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b) 1996-2005 model taşıtlar için 31/12/2016 tarihine kadar,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c) 1986-1995 model taşıtlar için 31/12/2017 tarihine kadar,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ç) 1985 model ve öncesi taşıtlar için 31/12/2018 tarihine kadar,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Bakanlıktan veya Bakanlığın yetkilendirdiği kurum/kuruluştan Taşıt Uygunluk Belgesi’ni almak zorundadırlar.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(3) Birinci fıkrada belirtilen takvimlerdeki tarihlere uygun olarak Taşıt Durum Tespit Belgesi almayan taşıtlara 28 inci maddenin dördüncü fıkrasının (e) bendine göre idari para cezası uygulanır.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(4) Birinci fıkrada belirtilen takvime uygun olarak Taşıt Durum Tespit Belgesi alanlara, ikinci fıkrada belirtilen takvime uygun olarak Taşıt Uygunluk Belgesi almaları için izin verilir ve söz konusu tarihlerin sonuna kadar herhangi bir idari para cezası uygulanmaz.</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sz w:val="18"/>
                <w:szCs w:val="18"/>
              </w:rPr>
              <w:t>(5) İkinci fıkrada belirtilen takvime uygun olarak Taşıt Uygunluk Belgesi almayan taşıtlara 28 inci maddenin dördüncü fıkrasının (e) bendine göre idari para cezası uygulanır.”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sz w:val="18"/>
                <w:szCs w:val="18"/>
              </w:rPr>
              <w:t>MADDE 6 –</w:t>
            </w:r>
            <w:r w:rsidRPr="00E726D8">
              <w:rPr>
                <w:rFonts w:ascii="Times New Roman" w:eastAsia="ヒラギノ明朝 Pro W3" w:hAnsi="Times New Roman" w:cs="Times New Roman"/>
                <w:sz w:val="18"/>
                <w:szCs w:val="18"/>
              </w:rPr>
              <w:t xml:space="preserve"> Aynı Yönetmeliğin Geçici 3 üncü maddesinin birinci fıkrasında yer alan “1/9/2014” ibaresi “31/12/2014” olarak değiştirilmiştir.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sz w:val="18"/>
                <w:szCs w:val="18"/>
              </w:rPr>
              <w:t>MADDE 7 –</w:t>
            </w:r>
            <w:r w:rsidRPr="00E726D8">
              <w:rPr>
                <w:rFonts w:ascii="Times New Roman" w:eastAsia="ヒラギノ明朝 Pro W3" w:hAnsi="Times New Roman" w:cs="Times New Roman"/>
                <w:sz w:val="18"/>
                <w:szCs w:val="18"/>
              </w:rPr>
              <w:t xml:space="preserve"> Aynı Yönetmeliğin Geçici 4 üncü maddesinin birinci fıkrasında yer alan “1/9/2014” ibaresi </w:t>
            </w:r>
            <w:r w:rsidRPr="00E726D8">
              <w:rPr>
                <w:rFonts w:ascii="Times New Roman" w:eastAsia="ヒラギノ明朝 Pro W3" w:hAnsi="Times New Roman" w:cs="Times New Roman"/>
                <w:sz w:val="18"/>
                <w:szCs w:val="18"/>
              </w:rPr>
              <w:lastRenderedPageBreak/>
              <w:t>“30/6/2015” olarak değiştirilmiştir.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sz w:val="18"/>
                <w:szCs w:val="18"/>
              </w:rPr>
              <w:t>MADDE 8 –</w:t>
            </w:r>
            <w:r w:rsidRPr="00E726D8">
              <w:rPr>
                <w:rFonts w:ascii="Times New Roman" w:eastAsia="ヒラギノ明朝 Pro W3" w:hAnsi="Times New Roman" w:cs="Times New Roman"/>
                <w:sz w:val="18"/>
                <w:szCs w:val="18"/>
              </w:rPr>
              <w:t xml:space="preserve"> Aynı Yönetmeliğin Geçici 5 inci maddesinin birinci fıkrasında yer alan “31/12/2014” ibaresi “31/12/2015” olarak değiştirilmiştir.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sz w:val="18"/>
                <w:szCs w:val="18"/>
              </w:rPr>
              <w:t>MADDE 9 –</w:t>
            </w:r>
            <w:r w:rsidRPr="00E726D8">
              <w:rPr>
                <w:rFonts w:ascii="Times New Roman" w:eastAsia="ヒラギノ明朝 Pro W3" w:hAnsi="Times New Roman" w:cs="Times New Roman"/>
                <w:sz w:val="18"/>
                <w:szCs w:val="18"/>
              </w:rPr>
              <w:t xml:space="preserve"> Aynı Yönetmeliğe aşağıdaki geçici 6 ncı madde eklenmiştir.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b/>
                <w:sz w:val="18"/>
                <w:szCs w:val="18"/>
              </w:rPr>
            </w:pPr>
            <w:r w:rsidRPr="00E726D8">
              <w:rPr>
                <w:rFonts w:ascii="Times New Roman" w:eastAsia="ヒラギノ明朝 Pro W3" w:hAnsi="Times New Roman" w:cs="Times New Roman"/>
                <w:sz w:val="18"/>
                <w:szCs w:val="18"/>
              </w:rPr>
              <w:t>“</w:t>
            </w:r>
            <w:r w:rsidRPr="00E726D8">
              <w:rPr>
                <w:rFonts w:ascii="Times New Roman" w:eastAsia="ヒラギノ明朝 Pro W3" w:hAnsi="Times New Roman" w:cs="Times New Roman"/>
                <w:b/>
                <w:sz w:val="18"/>
                <w:szCs w:val="18"/>
              </w:rPr>
              <w:t>Güzergâhlar ve park yerlerinin belirlenmesi</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sz w:val="18"/>
                <w:szCs w:val="18"/>
              </w:rPr>
              <w:t>GEÇİCİ MADDE 6 –</w:t>
            </w:r>
            <w:r w:rsidRPr="00E726D8">
              <w:rPr>
                <w:rFonts w:ascii="Times New Roman" w:eastAsia="ヒラギノ明朝 Pro W3" w:hAnsi="Times New Roman" w:cs="Times New Roman"/>
                <w:sz w:val="18"/>
                <w:szCs w:val="18"/>
              </w:rPr>
              <w:t xml:space="preserve"> (1) 20 nci maddenin 1 inci fıkrasında görevli ve yetkili kılınan kurum ve kuruluşlar, güzergâh ve park yerlerinin belirlenmesini 31/12/2015 tarihine kadar tamamlarlar.”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sz w:val="18"/>
                <w:szCs w:val="18"/>
              </w:rPr>
              <w:t>MADDE 10 –</w:t>
            </w:r>
            <w:r w:rsidRPr="00E726D8">
              <w:rPr>
                <w:rFonts w:ascii="Times New Roman" w:eastAsia="ヒラギノ明朝 Pro W3" w:hAnsi="Times New Roman" w:cs="Times New Roman"/>
                <w:sz w:val="18"/>
                <w:szCs w:val="18"/>
              </w:rPr>
              <w:t xml:space="preserve"> Aynı Yönetmeliğe aşağıdaki geçici 7 nci madde eklenmiştir.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b/>
                <w:sz w:val="18"/>
                <w:szCs w:val="18"/>
              </w:rPr>
            </w:pPr>
            <w:r w:rsidRPr="00E726D8">
              <w:rPr>
                <w:rFonts w:ascii="Times New Roman" w:eastAsia="ヒラギノ明朝 Pro W3" w:hAnsi="Times New Roman" w:cs="Times New Roman"/>
                <w:sz w:val="18"/>
                <w:szCs w:val="18"/>
              </w:rPr>
              <w:t>“</w:t>
            </w:r>
            <w:r w:rsidRPr="00E726D8">
              <w:rPr>
                <w:rFonts w:ascii="Times New Roman" w:eastAsia="ヒラギノ明朝 Pro W3" w:hAnsi="Times New Roman" w:cs="Times New Roman"/>
                <w:b/>
                <w:sz w:val="18"/>
                <w:szCs w:val="18"/>
              </w:rPr>
              <w:t>Sertifikalandırılmamış ambalajların kullanımı</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sz w:val="18"/>
                <w:szCs w:val="18"/>
              </w:rPr>
              <w:t>GEÇİCİ MADDE 7 –</w:t>
            </w:r>
            <w:r w:rsidRPr="00E726D8">
              <w:rPr>
                <w:rFonts w:ascii="Times New Roman" w:eastAsia="ヒラギノ明朝 Pro W3" w:hAnsi="Times New Roman" w:cs="Times New Roman"/>
                <w:sz w:val="18"/>
                <w:szCs w:val="18"/>
              </w:rPr>
              <w:t xml:space="preserve"> (1) 24/10/2013 tarihinden önce üretilmiş olan ambalajlar için 5 inci maddenin 4 üncü fıkrası hükmü aranmaz, bu ambalajların yurt içi tehlikeli madde taşımacılığında kullanımına 31/12/2015 tarihine kadar müsaade edilir.”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sz w:val="18"/>
                <w:szCs w:val="18"/>
              </w:rPr>
              <w:t>MADDE 11 –</w:t>
            </w:r>
            <w:r w:rsidRPr="00E726D8">
              <w:rPr>
                <w:rFonts w:ascii="Times New Roman" w:eastAsia="ヒラギノ明朝 Pro W3" w:hAnsi="Times New Roman" w:cs="Times New Roman"/>
                <w:sz w:val="18"/>
                <w:szCs w:val="18"/>
              </w:rPr>
              <w:t xml:space="preserve"> Bu Yönetmelik yayımı tarihinde yürürlüğe girer.</w:t>
            </w:r>
          </w:p>
          <w:p w:rsidR="00E726D8" w:rsidRPr="00E726D8" w:rsidRDefault="00E726D8" w:rsidP="00E726D8">
            <w:pPr>
              <w:tabs>
                <w:tab w:val="left" w:pos="566"/>
              </w:tabs>
              <w:spacing w:after="0" w:line="240" w:lineRule="exact"/>
              <w:ind w:firstLine="566"/>
              <w:jc w:val="both"/>
              <w:rPr>
                <w:rFonts w:ascii="Times New Roman" w:eastAsia="ヒラギノ明朝 Pro W3" w:hAnsi="Times New Roman" w:cs="Times New Roman"/>
                <w:sz w:val="18"/>
                <w:szCs w:val="18"/>
              </w:rPr>
            </w:pPr>
            <w:r w:rsidRPr="00E726D8">
              <w:rPr>
                <w:rFonts w:ascii="Times New Roman" w:eastAsia="ヒラギノ明朝 Pro W3" w:hAnsi="Times New Roman" w:cs="Times New Roman"/>
                <w:b/>
                <w:sz w:val="18"/>
                <w:szCs w:val="18"/>
              </w:rPr>
              <w:t>MADDE 12 –</w:t>
            </w:r>
            <w:r w:rsidRPr="00E726D8">
              <w:rPr>
                <w:rFonts w:ascii="Times New Roman" w:eastAsia="ヒラギノ明朝 Pro W3" w:hAnsi="Times New Roman" w:cs="Times New Roman"/>
                <w:sz w:val="18"/>
                <w:szCs w:val="18"/>
              </w:rPr>
              <w:t xml:space="preserve"> Bu Yönetmelik hükümlerini Ulaştırma, Denizcilik ve Haberleşme Bakanı yürütür.</w:t>
            </w:r>
          </w:p>
          <w:p w:rsidR="00E726D8" w:rsidRPr="00E726D8" w:rsidRDefault="00E726D8" w:rsidP="00E726D8">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E726D8" w:rsidRPr="00E726D8">
              <w:trPr>
                <w:jc w:val="center"/>
              </w:trPr>
              <w:tc>
                <w:tcPr>
                  <w:tcW w:w="8505" w:type="dxa"/>
                  <w:gridSpan w:val="2"/>
                  <w:tcBorders>
                    <w:top w:val="single" w:sz="4" w:space="0" w:color="auto"/>
                    <w:left w:val="single" w:sz="4" w:space="0" w:color="auto"/>
                    <w:bottom w:val="nil"/>
                    <w:right w:val="single" w:sz="4" w:space="0" w:color="auto"/>
                  </w:tcBorders>
                  <w:hideMark/>
                </w:tcPr>
                <w:p w:rsidR="00E726D8" w:rsidRPr="00E726D8" w:rsidRDefault="00E726D8" w:rsidP="00E726D8">
                  <w:pPr>
                    <w:tabs>
                      <w:tab w:val="left" w:pos="566"/>
                    </w:tabs>
                    <w:spacing w:after="0" w:line="240" w:lineRule="exact"/>
                    <w:jc w:val="center"/>
                    <w:rPr>
                      <w:rFonts w:ascii="Times New Roman" w:eastAsia="ヒラギノ明朝 Pro W3" w:hAnsi="Times" w:cs="Times New Roman"/>
                      <w:b/>
                      <w:sz w:val="18"/>
                      <w:szCs w:val="18"/>
                    </w:rPr>
                  </w:pPr>
                  <w:r w:rsidRPr="00E726D8">
                    <w:rPr>
                      <w:rFonts w:ascii="Times New Roman" w:eastAsia="ヒラギノ明朝 Pro W3" w:hAnsi="Times" w:cs="Times New Roman"/>
                      <w:b/>
                      <w:sz w:val="18"/>
                      <w:szCs w:val="18"/>
                    </w:rPr>
                    <w:t>Y</w:t>
                  </w:r>
                  <w:r w:rsidRPr="00E726D8">
                    <w:rPr>
                      <w:rFonts w:ascii="Times New Roman" w:eastAsia="ヒラギノ明朝 Pro W3" w:hAnsi="Times" w:cs="Times"/>
                      <w:b/>
                      <w:sz w:val="18"/>
                      <w:szCs w:val="18"/>
                    </w:rPr>
                    <w:t>ö</w:t>
                  </w:r>
                  <w:r w:rsidRPr="00E726D8">
                    <w:rPr>
                      <w:rFonts w:ascii="Times New Roman" w:eastAsia="ヒラギノ明朝 Pro W3" w:hAnsi="Times" w:cs="Times New Roman"/>
                      <w:b/>
                      <w:sz w:val="18"/>
                      <w:szCs w:val="18"/>
                    </w:rPr>
                    <w:t>netmeli</w:t>
                  </w:r>
                  <w:r w:rsidRPr="00E726D8">
                    <w:rPr>
                      <w:rFonts w:ascii="Times New Roman" w:eastAsia="ヒラギノ明朝 Pro W3" w:hAnsi="Times" w:cs="Times"/>
                      <w:b/>
                      <w:sz w:val="18"/>
                      <w:szCs w:val="18"/>
                    </w:rPr>
                    <w:t>ğ</w:t>
                  </w:r>
                  <w:r w:rsidRPr="00E726D8">
                    <w:rPr>
                      <w:rFonts w:ascii="Times New Roman" w:eastAsia="ヒラギノ明朝 Pro W3" w:hAnsi="Times" w:cs="Times New Roman"/>
                      <w:b/>
                      <w:sz w:val="18"/>
                      <w:szCs w:val="18"/>
                    </w:rPr>
                    <w:t>in Yay</w:t>
                  </w:r>
                  <w:r w:rsidRPr="00E726D8">
                    <w:rPr>
                      <w:rFonts w:ascii="Times New Roman" w:eastAsia="ヒラギノ明朝 Pro W3" w:hAnsi="Times" w:cs="Times"/>
                      <w:b/>
                      <w:sz w:val="18"/>
                      <w:szCs w:val="18"/>
                    </w:rPr>
                    <w:t>ı</w:t>
                  </w:r>
                  <w:r w:rsidRPr="00E726D8">
                    <w:rPr>
                      <w:rFonts w:ascii="Times New Roman" w:eastAsia="ヒラギノ明朝 Pro W3" w:hAnsi="Times" w:cs="Times New Roman"/>
                      <w:b/>
                      <w:sz w:val="18"/>
                      <w:szCs w:val="18"/>
                    </w:rPr>
                    <w:t>mland</w:t>
                  </w:r>
                  <w:r w:rsidRPr="00E726D8">
                    <w:rPr>
                      <w:rFonts w:ascii="Times New Roman" w:eastAsia="ヒラギノ明朝 Pro W3" w:hAnsi="Times" w:cs="Times"/>
                      <w:b/>
                      <w:sz w:val="18"/>
                      <w:szCs w:val="18"/>
                    </w:rPr>
                    <w:t>ığı</w:t>
                  </w:r>
                  <w:r w:rsidRPr="00E726D8">
                    <w:rPr>
                      <w:rFonts w:ascii="Times New Roman" w:eastAsia="ヒラギノ明朝 Pro W3" w:hAnsi="Times" w:cs="Times New Roman"/>
                      <w:b/>
                      <w:sz w:val="18"/>
                      <w:szCs w:val="18"/>
                    </w:rPr>
                    <w:t xml:space="preserve"> Resm</w:t>
                  </w:r>
                  <w:r w:rsidRPr="00E726D8">
                    <w:rPr>
                      <w:rFonts w:ascii="Times New Roman" w:eastAsia="ヒラギノ明朝 Pro W3" w:hAnsi="Times" w:cs="Times"/>
                      <w:b/>
                      <w:sz w:val="18"/>
                      <w:szCs w:val="18"/>
                    </w:rPr>
                    <w:t>î</w:t>
                  </w:r>
                  <w:r w:rsidRPr="00E726D8">
                    <w:rPr>
                      <w:rFonts w:ascii="Times New Roman" w:eastAsia="ヒラギノ明朝 Pro W3" w:hAnsi="Times" w:cs="Times New Roman"/>
                      <w:b/>
                      <w:sz w:val="18"/>
                      <w:szCs w:val="18"/>
                    </w:rPr>
                    <w:t xml:space="preserve"> Gazete'nin</w:t>
                  </w:r>
                </w:p>
              </w:tc>
            </w:tr>
            <w:tr w:rsidR="00E726D8" w:rsidRPr="00E726D8">
              <w:trPr>
                <w:jc w:val="center"/>
              </w:trPr>
              <w:tc>
                <w:tcPr>
                  <w:tcW w:w="4254" w:type="dxa"/>
                  <w:tcBorders>
                    <w:top w:val="nil"/>
                    <w:left w:val="single" w:sz="4" w:space="0" w:color="auto"/>
                    <w:bottom w:val="single" w:sz="4" w:space="0" w:color="auto"/>
                    <w:right w:val="nil"/>
                  </w:tcBorders>
                  <w:hideMark/>
                </w:tcPr>
                <w:p w:rsidR="00E726D8" w:rsidRPr="00E726D8" w:rsidRDefault="00E726D8" w:rsidP="00E726D8">
                  <w:pPr>
                    <w:tabs>
                      <w:tab w:val="left" w:pos="566"/>
                    </w:tabs>
                    <w:spacing w:after="0" w:line="240" w:lineRule="exact"/>
                    <w:jc w:val="center"/>
                    <w:rPr>
                      <w:rFonts w:ascii="Times New Roman" w:eastAsia="ヒラギノ明朝 Pro W3" w:hAnsi="Times" w:cs="Times New Roman"/>
                      <w:b/>
                      <w:sz w:val="18"/>
                      <w:szCs w:val="18"/>
                    </w:rPr>
                  </w:pPr>
                  <w:r w:rsidRPr="00E726D8">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E726D8" w:rsidRPr="00E726D8" w:rsidRDefault="00E726D8" w:rsidP="00E726D8">
                  <w:pPr>
                    <w:tabs>
                      <w:tab w:val="left" w:pos="566"/>
                    </w:tabs>
                    <w:spacing w:after="0" w:line="240" w:lineRule="exact"/>
                    <w:jc w:val="center"/>
                    <w:rPr>
                      <w:rFonts w:ascii="Times New Roman" w:eastAsia="ヒラギノ明朝 Pro W3" w:hAnsi="Times" w:cs="Times New Roman"/>
                      <w:b/>
                      <w:sz w:val="18"/>
                      <w:szCs w:val="18"/>
                    </w:rPr>
                  </w:pPr>
                  <w:r w:rsidRPr="00E726D8">
                    <w:rPr>
                      <w:rFonts w:ascii="Times New Roman" w:eastAsia="ヒラギノ明朝 Pro W3" w:hAnsi="Times" w:cs="Times New Roman"/>
                      <w:b/>
                      <w:sz w:val="18"/>
                      <w:szCs w:val="18"/>
                    </w:rPr>
                    <w:t>Say</w:t>
                  </w:r>
                  <w:r w:rsidRPr="00E726D8">
                    <w:rPr>
                      <w:rFonts w:ascii="Times New Roman" w:eastAsia="ヒラギノ明朝 Pro W3" w:hAnsi="Times" w:cs="Times"/>
                      <w:b/>
                      <w:sz w:val="18"/>
                      <w:szCs w:val="18"/>
                    </w:rPr>
                    <w:t>ı</w:t>
                  </w:r>
                  <w:r w:rsidRPr="00E726D8">
                    <w:rPr>
                      <w:rFonts w:ascii="Times New Roman" w:eastAsia="ヒラギノ明朝 Pro W3" w:hAnsi="Times" w:cs="Times New Roman"/>
                      <w:b/>
                      <w:sz w:val="18"/>
                      <w:szCs w:val="18"/>
                    </w:rPr>
                    <w:t>s</w:t>
                  </w:r>
                  <w:r w:rsidRPr="00E726D8">
                    <w:rPr>
                      <w:rFonts w:ascii="Times New Roman" w:eastAsia="ヒラギノ明朝 Pro W3" w:hAnsi="Times" w:cs="Times"/>
                      <w:b/>
                      <w:sz w:val="18"/>
                      <w:szCs w:val="18"/>
                    </w:rPr>
                    <w:t>ı</w:t>
                  </w:r>
                </w:p>
              </w:tc>
            </w:tr>
            <w:tr w:rsidR="00E726D8" w:rsidRPr="00E726D8">
              <w:trPr>
                <w:jc w:val="center"/>
              </w:trPr>
              <w:tc>
                <w:tcPr>
                  <w:tcW w:w="4254" w:type="dxa"/>
                  <w:tcBorders>
                    <w:top w:val="single" w:sz="4" w:space="0" w:color="auto"/>
                    <w:left w:val="single" w:sz="4" w:space="0" w:color="auto"/>
                    <w:bottom w:val="single" w:sz="4" w:space="0" w:color="auto"/>
                    <w:right w:val="single" w:sz="4" w:space="0" w:color="auto"/>
                  </w:tcBorders>
                  <w:hideMark/>
                </w:tcPr>
                <w:p w:rsidR="00E726D8" w:rsidRPr="00E726D8" w:rsidRDefault="00E726D8" w:rsidP="00E726D8">
                  <w:pPr>
                    <w:tabs>
                      <w:tab w:val="left" w:pos="566"/>
                    </w:tabs>
                    <w:spacing w:after="0" w:line="240" w:lineRule="exact"/>
                    <w:jc w:val="center"/>
                    <w:rPr>
                      <w:rFonts w:ascii="Times New Roman" w:eastAsia="ヒラギノ明朝 Pro W3" w:hAnsi="Times" w:cs="Times New Roman"/>
                      <w:sz w:val="18"/>
                      <w:szCs w:val="18"/>
                    </w:rPr>
                  </w:pPr>
                  <w:r w:rsidRPr="00E726D8">
                    <w:rPr>
                      <w:rFonts w:ascii="Times New Roman" w:eastAsia="ヒラギノ明朝 Pro W3" w:hAnsi="Times" w:cs="Times New Roman"/>
                      <w:sz w:val="18"/>
                      <w:szCs w:val="18"/>
                    </w:rPr>
                    <w:t>24/10/2013</w:t>
                  </w:r>
                </w:p>
              </w:tc>
              <w:tc>
                <w:tcPr>
                  <w:tcW w:w="4251" w:type="dxa"/>
                  <w:tcBorders>
                    <w:top w:val="single" w:sz="4" w:space="0" w:color="auto"/>
                    <w:left w:val="single" w:sz="4" w:space="0" w:color="auto"/>
                    <w:bottom w:val="single" w:sz="4" w:space="0" w:color="auto"/>
                    <w:right w:val="single" w:sz="4" w:space="0" w:color="auto"/>
                  </w:tcBorders>
                  <w:hideMark/>
                </w:tcPr>
                <w:p w:rsidR="00E726D8" w:rsidRPr="00E726D8" w:rsidRDefault="00E726D8" w:rsidP="00E726D8">
                  <w:pPr>
                    <w:tabs>
                      <w:tab w:val="left" w:pos="566"/>
                    </w:tabs>
                    <w:spacing w:after="0" w:line="240" w:lineRule="exact"/>
                    <w:jc w:val="center"/>
                    <w:rPr>
                      <w:rFonts w:ascii="Times New Roman" w:eastAsia="ヒラギノ明朝 Pro W3" w:hAnsi="Times" w:cs="Times New Roman"/>
                      <w:sz w:val="18"/>
                      <w:szCs w:val="18"/>
                    </w:rPr>
                  </w:pPr>
                  <w:r w:rsidRPr="00E726D8">
                    <w:rPr>
                      <w:rFonts w:ascii="Times New Roman" w:eastAsia="ヒラギノ明朝 Pro W3" w:hAnsi="Times" w:cs="Times New Roman"/>
                      <w:sz w:val="18"/>
                      <w:szCs w:val="18"/>
                    </w:rPr>
                    <w:t>28801</w:t>
                  </w:r>
                </w:p>
              </w:tc>
            </w:tr>
          </w:tbl>
          <w:p w:rsidR="00E726D8" w:rsidRPr="00E726D8" w:rsidRDefault="00E726D8" w:rsidP="00E726D8">
            <w:pPr>
              <w:spacing w:after="0" w:line="240" w:lineRule="auto"/>
              <w:jc w:val="center"/>
              <w:rPr>
                <w:rFonts w:ascii="Times New Roman" w:eastAsia="Times New Roman" w:hAnsi="Times New Roman" w:cs="Times New Roman"/>
                <w:sz w:val="20"/>
                <w:szCs w:val="20"/>
                <w:lang w:eastAsia="tr-TR"/>
              </w:rPr>
            </w:pPr>
          </w:p>
        </w:tc>
      </w:tr>
    </w:tbl>
    <w:p w:rsidR="00E726D8" w:rsidRDefault="00E726D8"/>
    <w:sectPr w:rsidR="00E726D8" w:rsidSect="00256C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31B65"/>
    <w:rsid w:val="00256C66"/>
    <w:rsid w:val="00631B65"/>
    <w:rsid w:val="00701B75"/>
    <w:rsid w:val="00E726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C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31B65"/>
    <w:rPr>
      <w:color w:val="0000FF"/>
      <w:u w:val="single"/>
    </w:rPr>
  </w:style>
  <w:style w:type="paragraph" w:styleId="NormalWeb">
    <w:name w:val="Normal (Web)"/>
    <w:basedOn w:val="Normal"/>
    <w:rsid w:val="00631B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631B6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31B65"/>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31B65"/>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5</cp:revision>
  <dcterms:created xsi:type="dcterms:W3CDTF">2014-08-27T06:06:00Z</dcterms:created>
  <dcterms:modified xsi:type="dcterms:W3CDTF">2014-08-27T06:08:00Z</dcterms:modified>
</cp:coreProperties>
</file>