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B10E2D" w:rsidRPr="00B10E2D" w:rsidTr="00B10E2D">
        <w:trPr>
          <w:jc w:val="center"/>
        </w:trPr>
        <w:tc>
          <w:tcPr>
            <w:tcW w:w="9104" w:type="dxa"/>
            <w:hideMark/>
          </w:tcPr>
          <w:tbl>
            <w:tblPr>
              <w:tblW w:w="8789" w:type="dxa"/>
              <w:jc w:val="center"/>
              <w:tblLook w:val="01E0"/>
            </w:tblPr>
            <w:tblGrid>
              <w:gridCol w:w="2931"/>
              <w:gridCol w:w="2931"/>
              <w:gridCol w:w="2927"/>
            </w:tblGrid>
            <w:tr w:rsidR="00B10E2D" w:rsidRPr="00B10E2D">
              <w:trPr>
                <w:trHeight w:val="317"/>
                <w:jc w:val="center"/>
              </w:trPr>
              <w:tc>
                <w:tcPr>
                  <w:tcW w:w="2931" w:type="dxa"/>
                  <w:tcBorders>
                    <w:top w:val="nil"/>
                    <w:left w:val="nil"/>
                    <w:bottom w:val="single" w:sz="4" w:space="0" w:color="660066"/>
                    <w:right w:val="nil"/>
                  </w:tcBorders>
                  <w:vAlign w:val="center"/>
                  <w:hideMark/>
                </w:tcPr>
                <w:p w:rsidR="00B10E2D" w:rsidRPr="00B10E2D" w:rsidRDefault="00B10E2D" w:rsidP="00B10E2D">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B10E2D">
                    <w:rPr>
                      <w:rFonts w:ascii="Arial" w:eastAsia="Times New Roman" w:hAnsi="Arial" w:cs="Arial"/>
                      <w:sz w:val="16"/>
                      <w:szCs w:val="16"/>
                      <w:lang w:eastAsia="tr-TR"/>
                    </w:rPr>
                    <w:t xml:space="preserve">18 Eylül </w:t>
                  </w:r>
                  <w:proofErr w:type="gramStart"/>
                  <w:r w:rsidRPr="00B10E2D">
                    <w:rPr>
                      <w:rFonts w:ascii="Arial" w:eastAsia="Times New Roman" w:hAnsi="Arial" w:cs="Arial"/>
                      <w:sz w:val="16"/>
                      <w:szCs w:val="16"/>
                      <w:lang w:eastAsia="tr-TR"/>
                    </w:rPr>
                    <w:t>2014  PERŞEMBE</w:t>
                  </w:r>
                  <w:proofErr w:type="gramEnd"/>
                </w:p>
              </w:tc>
              <w:tc>
                <w:tcPr>
                  <w:tcW w:w="2931" w:type="dxa"/>
                  <w:tcBorders>
                    <w:top w:val="nil"/>
                    <w:left w:val="nil"/>
                    <w:bottom w:val="single" w:sz="4" w:space="0" w:color="660066"/>
                    <w:right w:val="nil"/>
                  </w:tcBorders>
                  <w:vAlign w:val="center"/>
                  <w:hideMark/>
                </w:tcPr>
                <w:p w:rsidR="00B10E2D" w:rsidRPr="00B10E2D" w:rsidRDefault="00B10E2D" w:rsidP="00B10E2D">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B10E2D">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B10E2D" w:rsidRPr="00B10E2D" w:rsidRDefault="00B10E2D" w:rsidP="00B10E2D">
                  <w:pPr>
                    <w:spacing w:before="100" w:beforeAutospacing="1" w:after="100" w:afterAutospacing="1" w:line="240" w:lineRule="auto"/>
                    <w:jc w:val="right"/>
                    <w:rPr>
                      <w:rFonts w:ascii="Arial" w:eastAsia="Times New Roman" w:hAnsi="Arial" w:cs="Arial"/>
                      <w:sz w:val="16"/>
                      <w:szCs w:val="16"/>
                      <w:lang w:eastAsia="tr-TR"/>
                    </w:rPr>
                  </w:pPr>
                  <w:proofErr w:type="gramStart"/>
                  <w:r w:rsidRPr="00B10E2D">
                    <w:rPr>
                      <w:rFonts w:ascii="Arial" w:eastAsia="Times New Roman" w:hAnsi="Arial" w:cs="Arial"/>
                      <w:sz w:val="16"/>
                      <w:szCs w:val="16"/>
                      <w:lang w:eastAsia="tr-TR"/>
                    </w:rPr>
                    <w:t>Sayı : 29123</w:t>
                  </w:r>
                  <w:proofErr w:type="gramEnd"/>
                </w:p>
              </w:tc>
            </w:tr>
            <w:tr w:rsidR="00B10E2D" w:rsidRPr="00B10E2D">
              <w:trPr>
                <w:trHeight w:val="480"/>
                <w:jc w:val="center"/>
              </w:trPr>
              <w:tc>
                <w:tcPr>
                  <w:tcW w:w="8789" w:type="dxa"/>
                  <w:gridSpan w:val="3"/>
                  <w:vAlign w:val="center"/>
                  <w:hideMark/>
                </w:tcPr>
                <w:p w:rsidR="00B10E2D" w:rsidRPr="00B10E2D" w:rsidRDefault="00B10E2D" w:rsidP="00B10E2D">
                  <w:pPr>
                    <w:spacing w:before="100" w:beforeAutospacing="1" w:after="100" w:afterAutospacing="1" w:line="240" w:lineRule="auto"/>
                    <w:jc w:val="center"/>
                    <w:rPr>
                      <w:rFonts w:ascii="Arial" w:eastAsia="Times New Roman" w:hAnsi="Arial" w:cs="Arial"/>
                      <w:b/>
                      <w:color w:val="000080"/>
                      <w:sz w:val="18"/>
                      <w:szCs w:val="18"/>
                      <w:lang w:eastAsia="tr-TR"/>
                    </w:rPr>
                  </w:pPr>
                  <w:r w:rsidRPr="00B10E2D">
                    <w:rPr>
                      <w:rFonts w:ascii="Arial" w:eastAsia="Times New Roman" w:hAnsi="Arial" w:cs="Arial"/>
                      <w:b/>
                      <w:color w:val="000080"/>
                      <w:sz w:val="18"/>
                      <w:szCs w:val="18"/>
                      <w:lang w:eastAsia="tr-TR"/>
                    </w:rPr>
                    <w:t>TEBLİĞ</w:t>
                  </w:r>
                </w:p>
              </w:tc>
            </w:tr>
            <w:tr w:rsidR="00B10E2D" w:rsidRPr="00B10E2D">
              <w:trPr>
                <w:trHeight w:val="480"/>
                <w:jc w:val="center"/>
              </w:trPr>
              <w:tc>
                <w:tcPr>
                  <w:tcW w:w="8789" w:type="dxa"/>
                  <w:gridSpan w:val="3"/>
                  <w:vAlign w:val="center"/>
                </w:tcPr>
                <w:p w:rsidR="00B10E2D" w:rsidRPr="00B10E2D" w:rsidRDefault="00B10E2D" w:rsidP="00B10E2D">
                  <w:pPr>
                    <w:tabs>
                      <w:tab w:val="left" w:pos="566"/>
                    </w:tabs>
                    <w:spacing w:after="0" w:line="240" w:lineRule="exact"/>
                    <w:ind w:firstLine="566"/>
                    <w:rPr>
                      <w:rFonts w:ascii="Times New Roman" w:eastAsia="ヒラギノ明朝 Pro W3" w:hAnsi="Times New Roman" w:cs="Times New Roman"/>
                      <w:sz w:val="18"/>
                      <w:szCs w:val="18"/>
                      <w:u w:val="single"/>
                    </w:rPr>
                  </w:pPr>
                  <w:r w:rsidRPr="00B10E2D">
                    <w:rPr>
                      <w:rFonts w:ascii="Times New Roman" w:eastAsia="ヒラギノ明朝 Pro W3" w:hAnsi="Times New Roman" w:cs="Times New Roman"/>
                      <w:sz w:val="18"/>
                      <w:szCs w:val="18"/>
                      <w:u w:val="single"/>
                    </w:rPr>
                    <w:t>Kamu Gözetimi, Muhasebe ve Denetim Standartları Kurumundan:</w:t>
                  </w:r>
                </w:p>
                <w:p w:rsidR="00B10E2D" w:rsidRPr="00B10E2D" w:rsidRDefault="00B10E2D" w:rsidP="00B10E2D">
                  <w:pPr>
                    <w:spacing w:after="0" w:line="240" w:lineRule="exact"/>
                    <w:jc w:val="center"/>
                    <w:rPr>
                      <w:rFonts w:ascii="Times New Roman" w:eastAsia="ヒラギノ明朝 Pro W3" w:hAnsi="Times New Roman" w:cs="Times New Roman"/>
                      <w:b/>
                      <w:sz w:val="18"/>
                      <w:szCs w:val="18"/>
                    </w:rPr>
                  </w:pPr>
                  <w:r w:rsidRPr="00B10E2D">
                    <w:rPr>
                      <w:rFonts w:ascii="Times New Roman" w:eastAsia="ヒラギノ明朝 Pro W3" w:hAnsi="Times New Roman" w:cs="Times New Roman"/>
                      <w:b/>
                      <w:sz w:val="18"/>
                      <w:szCs w:val="18"/>
                    </w:rPr>
                    <w:t>YATIRIM AMAÇLI GAYRİMENKULLERE İLİŞKİN TÜRKİYE MUHASEBE</w:t>
                  </w:r>
                </w:p>
                <w:p w:rsidR="00B10E2D" w:rsidRPr="00B10E2D" w:rsidRDefault="00B10E2D" w:rsidP="00B10E2D">
                  <w:pPr>
                    <w:spacing w:after="0" w:line="240" w:lineRule="exact"/>
                    <w:jc w:val="center"/>
                    <w:rPr>
                      <w:rFonts w:ascii="Times New Roman" w:eastAsia="ヒラギノ明朝 Pro W3" w:hAnsi="Times New Roman" w:cs="Times New Roman"/>
                      <w:b/>
                      <w:sz w:val="18"/>
                      <w:szCs w:val="18"/>
                    </w:rPr>
                  </w:pPr>
                  <w:r w:rsidRPr="00B10E2D">
                    <w:rPr>
                      <w:rFonts w:ascii="Times New Roman" w:eastAsia="ヒラギノ明朝 Pro W3" w:hAnsi="Times New Roman" w:cs="Times New Roman"/>
                      <w:b/>
                      <w:sz w:val="18"/>
                      <w:szCs w:val="18"/>
                    </w:rPr>
                    <w:t>STANDARDI (TMS 40) HAKKINDA TEBLİĞ (SIRA NO: 27)’DE DEĞİŞİKLİK</w:t>
                  </w:r>
                </w:p>
                <w:p w:rsidR="00B10E2D" w:rsidRPr="00B10E2D" w:rsidRDefault="00B10E2D" w:rsidP="00B10E2D">
                  <w:pPr>
                    <w:spacing w:after="0" w:line="240" w:lineRule="exact"/>
                    <w:jc w:val="center"/>
                    <w:rPr>
                      <w:rFonts w:ascii="Times New Roman" w:eastAsia="ヒラギノ明朝 Pro W3" w:hAnsi="Times New Roman" w:cs="Times New Roman"/>
                      <w:b/>
                      <w:sz w:val="18"/>
                      <w:szCs w:val="18"/>
                    </w:rPr>
                  </w:pPr>
                  <w:r w:rsidRPr="00B10E2D">
                    <w:rPr>
                      <w:rFonts w:ascii="Times New Roman" w:eastAsia="ヒラギノ明朝 Pro W3" w:hAnsi="Times New Roman" w:cs="Times New Roman"/>
                      <w:b/>
                      <w:sz w:val="18"/>
                      <w:szCs w:val="18"/>
                    </w:rPr>
                    <w:t>YAPILMASINA İLİŞKİN TEBLİĞ (SIRA NO: 29)</w:t>
                  </w:r>
                </w:p>
                <w:p w:rsidR="00B10E2D" w:rsidRPr="00B10E2D" w:rsidRDefault="00B10E2D" w:rsidP="00B10E2D">
                  <w:pPr>
                    <w:tabs>
                      <w:tab w:val="left" w:pos="566"/>
                    </w:tabs>
                    <w:spacing w:after="0" w:line="240" w:lineRule="exact"/>
                    <w:ind w:firstLine="566"/>
                    <w:jc w:val="both"/>
                    <w:rPr>
                      <w:rFonts w:ascii="Times New Roman" w:eastAsia="ヒラギノ明朝 Pro W3" w:hAnsi="Times New Roman" w:cs="Times New Roman"/>
                      <w:sz w:val="18"/>
                      <w:szCs w:val="18"/>
                    </w:rPr>
                  </w:pPr>
                  <w:r w:rsidRPr="00B10E2D">
                    <w:rPr>
                      <w:rFonts w:ascii="Times New Roman" w:eastAsia="ヒラギノ明朝 Pro W3" w:hAnsi="Times New Roman" w:cs="Times New Roman"/>
                      <w:b/>
                      <w:bCs/>
                      <w:sz w:val="18"/>
                      <w:szCs w:val="18"/>
                    </w:rPr>
                    <w:t>MADDE 1 –</w:t>
                  </w:r>
                  <w:r w:rsidRPr="00B10E2D">
                    <w:rPr>
                      <w:rFonts w:ascii="Times New Roman" w:eastAsia="ヒラギノ明朝 Pro W3" w:hAnsi="Times New Roman" w:cs="Times New Roman"/>
                      <w:sz w:val="18"/>
                      <w:szCs w:val="18"/>
                    </w:rPr>
                    <w:t xml:space="preserve"> </w:t>
                  </w:r>
                  <w:proofErr w:type="gramStart"/>
                  <w:r w:rsidRPr="00B10E2D">
                    <w:rPr>
                      <w:rFonts w:ascii="Times New Roman" w:eastAsia="ヒラギノ明朝 Pro W3" w:hAnsi="Times New Roman" w:cs="Times New Roman"/>
                      <w:sz w:val="18"/>
                      <w:szCs w:val="18"/>
                    </w:rPr>
                    <w:t>17/3/2006</w:t>
                  </w:r>
                  <w:proofErr w:type="gramEnd"/>
                  <w:r w:rsidRPr="00B10E2D">
                    <w:rPr>
                      <w:rFonts w:ascii="Times New Roman" w:eastAsia="ヒラギノ明朝 Pro W3" w:hAnsi="Times New Roman" w:cs="Times New Roman"/>
                      <w:sz w:val="18"/>
                      <w:szCs w:val="18"/>
                    </w:rPr>
                    <w:t xml:space="preserve"> tarihli ve 26111 sayılı Resmî Gazete’de yayımlanan Yatırım Amaçlı Gayrimenkullere İlişkin Türkiye Muhasebe Standardı (TMS 40) Hakkında Tebliğ (Sıra No: 27)’in 3 üncü maddesi başlığı ile birlikte aşağıdaki şekilde değiştirilmiştir.</w:t>
                  </w:r>
                </w:p>
                <w:p w:rsidR="00B10E2D" w:rsidRPr="00B10E2D" w:rsidRDefault="00B10E2D" w:rsidP="00B10E2D">
                  <w:pPr>
                    <w:tabs>
                      <w:tab w:val="left" w:pos="566"/>
                    </w:tabs>
                    <w:spacing w:after="0" w:line="240" w:lineRule="exact"/>
                    <w:ind w:firstLine="566"/>
                    <w:jc w:val="both"/>
                    <w:rPr>
                      <w:rFonts w:ascii="Times New Roman" w:eastAsia="ヒラギノ明朝 Pro W3" w:hAnsi="Times New Roman" w:cs="Times New Roman"/>
                      <w:b/>
                      <w:sz w:val="18"/>
                      <w:szCs w:val="18"/>
                    </w:rPr>
                  </w:pPr>
                  <w:r w:rsidRPr="00B10E2D">
                    <w:rPr>
                      <w:rFonts w:ascii="Times New Roman" w:eastAsia="ヒラギノ明朝 Pro W3" w:hAnsi="Times New Roman" w:cs="Times New Roman"/>
                      <w:sz w:val="18"/>
                      <w:szCs w:val="18"/>
                    </w:rPr>
                    <w:t>“</w:t>
                  </w:r>
                  <w:r w:rsidRPr="00B10E2D">
                    <w:rPr>
                      <w:rFonts w:ascii="Times New Roman" w:eastAsia="ヒラギノ明朝 Pro W3" w:hAnsi="Times New Roman" w:cs="Times New Roman"/>
                      <w:b/>
                      <w:sz w:val="18"/>
                      <w:szCs w:val="18"/>
                    </w:rPr>
                    <w:t>Dayanak</w:t>
                  </w:r>
                </w:p>
                <w:p w:rsidR="00B10E2D" w:rsidRPr="00B10E2D" w:rsidRDefault="00B10E2D" w:rsidP="00B10E2D">
                  <w:pPr>
                    <w:tabs>
                      <w:tab w:val="left" w:pos="566"/>
                    </w:tabs>
                    <w:spacing w:after="0" w:line="240" w:lineRule="exact"/>
                    <w:ind w:firstLine="566"/>
                    <w:jc w:val="both"/>
                    <w:rPr>
                      <w:rFonts w:ascii="Times New Roman" w:eastAsia="ヒラギノ明朝 Pro W3" w:hAnsi="Times New Roman" w:cs="Times New Roman"/>
                      <w:sz w:val="18"/>
                      <w:szCs w:val="18"/>
                    </w:rPr>
                  </w:pPr>
                  <w:r w:rsidRPr="00B10E2D">
                    <w:rPr>
                      <w:rFonts w:ascii="Times New Roman" w:eastAsia="ヒラギノ明朝 Pro W3" w:hAnsi="Times New Roman" w:cs="Times New Roman"/>
                      <w:b/>
                      <w:sz w:val="18"/>
                      <w:szCs w:val="18"/>
                    </w:rPr>
                    <w:t>MADDE 3 –</w:t>
                  </w:r>
                  <w:r w:rsidRPr="00B10E2D">
                    <w:rPr>
                      <w:rFonts w:ascii="Times New Roman" w:eastAsia="ヒラギノ明朝 Pro W3" w:hAnsi="Times New Roman" w:cs="Times New Roman"/>
                      <w:sz w:val="18"/>
                      <w:szCs w:val="18"/>
                    </w:rPr>
                    <w:t xml:space="preserve"> (1) Bu Tebliğ, </w:t>
                  </w:r>
                  <w:proofErr w:type="gramStart"/>
                  <w:r w:rsidRPr="00B10E2D">
                    <w:rPr>
                      <w:rFonts w:ascii="Times New Roman" w:eastAsia="ヒラギノ明朝 Pro W3" w:hAnsi="Times New Roman" w:cs="Times New Roman"/>
                      <w:sz w:val="18"/>
                      <w:szCs w:val="18"/>
                    </w:rPr>
                    <w:t>26/9/2011</w:t>
                  </w:r>
                  <w:proofErr w:type="gramEnd"/>
                  <w:r w:rsidRPr="00B10E2D">
                    <w:rPr>
                      <w:rFonts w:ascii="Times New Roman" w:eastAsia="ヒラギノ明朝 Pro W3" w:hAnsi="Times New Roman" w:cs="Times New Roman"/>
                      <w:sz w:val="18"/>
                      <w:szCs w:val="18"/>
                    </w:rPr>
                    <w:t xml:space="preserve"> tarihli ve 660 sayılı Kamu Gözetimi, Muhasebe ve Denetim Standartları Kurumunun Teşkilat ve Görevleri Hakkında Kanun Hükmünde Kararnamenin 9 uncu maddesine dayanılarak hazırlanmıştır.”</w:t>
                  </w:r>
                </w:p>
                <w:p w:rsidR="00B10E2D" w:rsidRPr="00B10E2D" w:rsidRDefault="00B10E2D" w:rsidP="00B10E2D">
                  <w:pPr>
                    <w:tabs>
                      <w:tab w:val="left" w:pos="566"/>
                    </w:tabs>
                    <w:spacing w:after="0" w:line="240" w:lineRule="exact"/>
                    <w:ind w:firstLine="566"/>
                    <w:jc w:val="both"/>
                    <w:rPr>
                      <w:rFonts w:ascii="Times New Roman" w:eastAsia="ヒラギノ明朝 Pro W3" w:hAnsi="Times New Roman" w:cs="Times New Roman"/>
                      <w:sz w:val="18"/>
                      <w:szCs w:val="18"/>
                    </w:rPr>
                  </w:pPr>
                  <w:r w:rsidRPr="00B10E2D">
                    <w:rPr>
                      <w:rFonts w:ascii="Times New Roman" w:eastAsia="ヒラギノ明朝 Pro W3" w:hAnsi="Times New Roman" w:cs="Times New Roman"/>
                      <w:b/>
                      <w:sz w:val="18"/>
                      <w:szCs w:val="18"/>
                    </w:rPr>
                    <w:t>MADDE 2 –</w:t>
                  </w:r>
                  <w:r w:rsidRPr="00B10E2D">
                    <w:rPr>
                      <w:rFonts w:ascii="Times New Roman" w:eastAsia="ヒラギノ明朝 Pro W3" w:hAnsi="Times New Roman" w:cs="Times New Roman"/>
                      <w:sz w:val="18"/>
                      <w:szCs w:val="18"/>
                    </w:rPr>
                    <w:t xml:space="preserve"> Aynı Tebliğin 4 üncü maddesinin birinci fıkrasının (a) bendi aşağıdaki şekilde değiştirilmiştir.</w:t>
                  </w:r>
                </w:p>
                <w:p w:rsidR="00B10E2D" w:rsidRPr="00B10E2D" w:rsidRDefault="00B10E2D" w:rsidP="00B10E2D">
                  <w:pPr>
                    <w:tabs>
                      <w:tab w:val="left" w:pos="566"/>
                    </w:tabs>
                    <w:spacing w:after="0" w:line="240" w:lineRule="exact"/>
                    <w:ind w:firstLine="566"/>
                    <w:jc w:val="both"/>
                    <w:rPr>
                      <w:rFonts w:ascii="Times New Roman" w:eastAsia="ヒラギノ明朝 Pro W3" w:hAnsi="Times New Roman" w:cs="Times New Roman"/>
                      <w:sz w:val="18"/>
                      <w:szCs w:val="18"/>
                    </w:rPr>
                  </w:pPr>
                  <w:r w:rsidRPr="00B10E2D">
                    <w:rPr>
                      <w:rFonts w:ascii="Times New Roman" w:eastAsia="ヒラギノ明朝 Pro W3" w:hAnsi="Times New Roman" w:cs="Times New Roman"/>
                      <w:sz w:val="18"/>
                      <w:szCs w:val="18"/>
                    </w:rPr>
                    <w:t>“a) Başkan: Kamu Gözetimi, Muhasebe ve Denetim Standartları Kurumu Başkanını,”</w:t>
                  </w:r>
                </w:p>
                <w:p w:rsidR="00B10E2D" w:rsidRPr="00B10E2D" w:rsidRDefault="00B10E2D" w:rsidP="00B10E2D">
                  <w:pPr>
                    <w:tabs>
                      <w:tab w:val="left" w:pos="566"/>
                    </w:tabs>
                    <w:spacing w:after="0" w:line="240" w:lineRule="exact"/>
                    <w:ind w:firstLine="566"/>
                    <w:jc w:val="both"/>
                    <w:rPr>
                      <w:rFonts w:ascii="Times New Roman" w:eastAsia="ヒラギノ明朝 Pro W3" w:hAnsi="Times New Roman" w:cs="Times New Roman"/>
                      <w:sz w:val="18"/>
                      <w:szCs w:val="18"/>
                    </w:rPr>
                  </w:pPr>
                  <w:r w:rsidRPr="00B10E2D">
                    <w:rPr>
                      <w:rFonts w:ascii="Times New Roman" w:eastAsia="ヒラギノ明朝 Pro W3" w:hAnsi="Times New Roman" w:cs="Times New Roman"/>
                      <w:b/>
                      <w:sz w:val="18"/>
                      <w:szCs w:val="18"/>
                    </w:rPr>
                    <w:t xml:space="preserve">MADDE 3 – </w:t>
                  </w:r>
                  <w:r w:rsidRPr="00B10E2D">
                    <w:rPr>
                      <w:rFonts w:ascii="Times New Roman" w:eastAsia="ヒラギノ明朝 Pro W3" w:hAnsi="Times New Roman" w:cs="Times New Roman"/>
                      <w:sz w:val="18"/>
                      <w:szCs w:val="18"/>
                    </w:rPr>
                    <w:t>Aynı Tebliğe aşağıdaki geçici madde eklenmiştir.</w:t>
                  </w:r>
                </w:p>
                <w:p w:rsidR="00B10E2D" w:rsidRPr="00B10E2D" w:rsidRDefault="00B10E2D" w:rsidP="00B10E2D">
                  <w:pPr>
                    <w:tabs>
                      <w:tab w:val="left" w:pos="566"/>
                    </w:tabs>
                    <w:spacing w:after="0" w:line="240" w:lineRule="exact"/>
                    <w:ind w:firstLine="566"/>
                    <w:jc w:val="both"/>
                    <w:rPr>
                      <w:rFonts w:ascii="Times New Roman" w:eastAsia="ヒラギノ明朝 Pro W3" w:hAnsi="Times New Roman" w:cs="Times New Roman"/>
                      <w:b/>
                      <w:sz w:val="18"/>
                      <w:szCs w:val="18"/>
                    </w:rPr>
                  </w:pPr>
                  <w:r w:rsidRPr="00B10E2D">
                    <w:rPr>
                      <w:rFonts w:ascii="Times New Roman" w:eastAsia="ヒラギノ明朝 Pro W3" w:hAnsi="Times New Roman" w:cs="Times New Roman"/>
                      <w:sz w:val="18"/>
                      <w:szCs w:val="18"/>
                    </w:rPr>
                    <w:t>“</w:t>
                  </w:r>
                  <w:r w:rsidRPr="00B10E2D">
                    <w:rPr>
                      <w:rFonts w:ascii="Times New Roman" w:eastAsia="ヒラギノ明朝 Pro W3" w:hAnsi="Times New Roman" w:cs="Times New Roman"/>
                      <w:b/>
                      <w:sz w:val="18"/>
                      <w:szCs w:val="18"/>
                    </w:rPr>
                    <w:t>Geçiş süreci</w:t>
                  </w:r>
                </w:p>
                <w:p w:rsidR="00B10E2D" w:rsidRPr="00B10E2D" w:rsidRDefault="00B10E2D" w:rsidP="00B10E2D">
                  <w:pPr>
                    <w:tabs>
                      <w:tab w:val="left" w:pos="566"/>
                    </w:tabs>
                    <w:spacing w:after="0" w:line="240" w:lineRule="exact"/>
                    <w:ind w:firstLine="566"/>
                    <w:jc w:val="both"/>
                    <w:rPr>
                      <w:rFonts w:ascii="Times New Roman" w:eastAsia="ヒラギノ明朝 Pro W3" w:hAnsi="Times New Roman" w:cs="Times New Roman"/>
                      <w:sz w:val="18"/>
                      <w:szCs w:val="18"/>
                    </w:rPr>
                  </w:pPr>
                  <w:r w:rsidRPr="00B10E2D">
                    <w:rPr>
                      <w:rFonts w:ascii="Times New Roman" w:eastAsia="ヒラギノ明朝 Pro W3" w:hAnsi="Times New Roman" w:cs="Times New Roman"/>
                      <w:b/>
                      <w:sz w:val="18"/>
                      <w:szCs w:val="18"/>
                    </w:rPr>
                    <w:t>GEÇİCİ MADDE 1 –</w:t>
                  </w:r>
                  <w:r w:rsidRPr="00B10E2D">
                    <w:rPr>
                      <w:rFonts w:ascii="Times New Roman" w:eastAsia="ヒラギノ明朝 Pro W3" w:hAnsi="Times New Roman" w:cs="Times New Roman"/>
                      <w:sz w:val="18"/>
                      <w:szCs w:val="18"/>
                    </w:rPr>
                    <w:t xml:space="preserve"> (1) İşletmeler, bu maddenin yürürlüğe girdiği tarihte “Türkiye Muhasebe Standardı TMS 40 Yatırım Amaçlı Gayrimenkuller” Standardının ilgili hükümlerinde yapılan değişiklikleri, </w:t>
                  </w:r>
                  <w:proofErr w:type="gramStart"/>
                  <w:r w:rsidRPr="00B10E2D">
                    <w:rPr>
                      <w:rFonts w:ascii="Times New Roman" w:eastAsia="ヒラギノ明朝 Pro W3" w:hAnsi="Times New Roman" w:cs="Times New Roman"/>
                      <w:sz w:val="18"/>
                      <w:szCs w:val="18"/>
                    </w:rPr>
                    <w:t>1/7/2014</w:t>
                  </w:r>
                  <w:proofErr w:type="gramEnd"/>
                  <w:r w:rsidRPr="00B10E2D">
                    <w:rPr>
                      <w:rFonts w:ascii="Times New Roman" w:eastAsia="ヒラギノ明朝 Pro W3" w:hAnsi="Times New Roman" w:cs="Times New Roman"/>
                      <w:sz w:val="18"/>
                      <w:szCs w:val="18"/>
                    </w:rPr>
                    <w:t xml:space="preserve"> tarihinden önce başlayan hesap dönemlerine ilişkin finansal tablolarında uygulayabilir. Bu durumda, anılan husus dipnotlarda açıklanır.”</w:t>
                  </w:r>
                </w:p>
                <w:p w:rsidR="00B10E2D" w:rsidRPr="00B10E2D" w:rsidRDefault="00B10E2D" w:rsidP="00B10E2D">
                  <w:pPr>
                    <w:tabs>
                      <w:tab w:val="left" w:pos="566"/>
                    </w:tabs>
                    <w:spacing w:after="0" w:line="240" w:lineRule="exact"/>
                    <w:ind w:firstLine="566"/>
                    <w:jc w:val="both"/>
                    <w:rPr>
                      <w:rFonts w:ascii="Times New Roman" w:eastAsia="ヒラギノ明朝 Pro W3" w:hAnsi="Times New Roman" w:cs="Times New Roman"/>
                      <w:sz w:val="18"/>
                      <w:szCs w:val="18"/>
                    </w:rPr>
                  </w:pPr>
                  <w:r w:rsidRPr="00B10E2D">
                    <w:rPr>
                      <w:rFonts w:ascii="Times New Roman" w:eastAsia="ヒラギノ明朝 Pro W3" w:hAnsi="Times New Roman" w:cs="Times New Roman"/>
                      <w:b/>
                      <w:sz w:val="18"/>
                      <w:szCs w:val="18"/>
                    </w:rPr>
                    <w:t>MADDE 4 –</w:t>
                  </w:r>
                  <w:r w:rsidRPr="00B10E2D">
                    <w:rPr>
                      <w:rFonts w:ascii="Times New Roman" w:eastAsia="ヒラギノ明朝 Pro W3" w:hAnsi="Times New Roman" w:cs="Times New Roman"/>
                      <w:sz w:val="18"/>
                      <w:szCs w:val="18"/>
                    </w:rPr>
                    <w:t xml:space="preserve"> Aynı Tebliğin 6 </w:t>
                  </w:r>
                  <w:proofErr w:type="spellStart"/>
                  <w:r w:rsidRPr="00B10E2D">
                    <w:rPr>
                      <w:rFonts w:ascii="Times New Roman" w:eastAsia="ヒラギノ明朝 Pro W3" w:hAnsi="Times New Roman" w:cs="Times New Roman"/>
                      <w:sz w:val="18"/>
                      <w:szCs w:val="18"/>
                    </w:rPr>
                    <w:t>ncı</w:t>
                  </w:r>
                  <w:proofErr w:type="spellEnd"/>
                  <w:r w:rsidRPr="00B10E2D">
                    <w:rPr>
                      <w:rFonts w:ascii="Times New Roman" w:eastAsia="ヒラギノ明朝 Pro W3" w:hAnsi="Times New Roman" w:cs="Times New Roman"/>
                      <w:sz w:val="18"/>
                      <w:szCs w:val="18"/>
                    </w:rPr>
                    <w:t xml:space="preserve"> maddesi aşağıdaki şekilde değiştirilmiştir.</w:t>
                  </w:r>
                </w:p>
                <w:p w:rsidR="00B10E2D" w:rsidRPr="00B10E2D" w:rsidRDefault="00B10E2D" w:rsidP="00B10E2D">
                  <w:pPr>
                    <w:tabs>
                      <w:tab w:val="left" w:pos="566"/>
                    </w:tabs>
                    <w:spacing w:after="0" w:line="240" w:lineRule="exact"/>
                    <w:ind w:firstLine="566"/>
                    <w:jc w:val="both"/>
                    <w:rPr>
                      <w:rFonts w:ascii="Times New Roman" w:eastAsia="ヒラギノ明朝 Pro W3" w:hAnsi="Times New Roman" w:cs="Times New Roman"/>
                      <w:sz w:val="18"/>
                      <w:szCs w:val="18"/>
                    </w:rPr>
                  </w:pPr>
                  <w:r w:rsidRPr="00B10E2D">
                    <w:rPr>
                      <w:rFonts w:ascii="Times New Roman" w:eastAsia="ヒラギノ明朝 Pro W3" w:hAnsi="Times New Roman" w:cs="Times New Roman"/>
                      <w:sz w:val="18"/>
                      <w:szCs w:val="18"/>
                    </w:rPr>
                    <w:t>“</w:t>
                  </w:r>
                  <w:r w:rsidRPr="00B10E2D">
                    <w:rPr>
                      <w:rFonts w:ascii="Times New Roman" w:eastAsia="ヒラギノ明朝 Pro W3" w:hAnsi="Times New Roman" w:cs="Times New Roman"/>
                      <w:b/>
                      <w:sz w:val="18"/>
                      <w:szCs w:val="18"/>
                    </w:rPr>
                    <w:t>MADDE 6 –</w:t>
                  </w:r>
                  <w:r w:rsidRPr="00B10E2D">
                    <w:rPr>
                      <w:rFonts w:ascii="Times New Roman" w:eastAsia="ヒラギノ明朝 Pro W3" w:hAnsi="Times New Roman" w:cs="Times New Roman"/>
                      <w:sz w:val="18"/>
                      <w:szCs w:val="18"/>
                    </w:rPr>
                    <w:t xml:space="preserve"> (1) Bu Tebliğ hükümlerini Kamu Gözetimi, Muhasebe ve Denetim Standartları Kurumu Başkanı yürütür.”</w:t>
                  </w:r>
                </w:p>
                <w:p w:rsidR="00B10E2D" w:rsidRPr="00B10E2D" w:rsidRDefault="00B10E2D" w:rsidP="00B10E2D">
                  <w:pPr>
                    <w:tabs>
                      <w:tab w:val="left" w:pos="566"/>
                    </w:tabs>
                    <w:spacing w:after="0" w:line="240" w:lineRule="exact"/>
                    <w:ind w:firstLine="566"/>
                    <w:jc w:val="both"/>
                    <w:rPr>
                      <w:rFonts w:ascii="Times New Roman" w:eastAsia="ヒラギノ明朝 Pro W3" w:hAnsi="Times New Roman" w:cs="Times New Roman"/>
                      <w:sz w:val="18"/>
                      <w:szCs w:val="18"/>
                    </w:rPr>
                  </w:pPr>
                  <w:r w:rsidRPr="00B10E2D">
                    <w:rPr>
                      <w:rFonts w:ascii="Times New Roman" w:eastAsia="ヒラギノ明朝 Pro W3" w:hAnsi="Times New Roman" w:cs="Times New Roman"/>
                      <w:b/>
                      <w:sz w:val="18"/>
                      <w:szCs w:val="18"/>
                    </w:rPr>
                    <w:t xml:space="preserve">MADDE 5 – </w:t>
                  </w:r>
                  <w:r w:rsidRPr="00B10E2D">
                    <w:rPr>
                      <w:rFonts w:ascii="Times New Roman" w:eastAsia="ヒラギノ明朝 Pro W3" w:hAnsi="Times New Roman" w:cs="Times New Roman"/>
                      <w:sz w:val="18"/>
                      <w:szCs w:val="18"/>
                    </w:rPr>
                    <w:t>Aynı Tebliğin ekinde yer alan “Türkiye Muhasebe Standardı TMS 40 Yatırım Amaçlı Gayrimenkuller” Standardının;</w:t>
                  </w:r>
                </w:p>
                <w:p w:rsidR="00B10E2D" w:rsidRPr="00B10E2D" w:rsidRDefault="00B10E2D" w:rsidP="00B10E2D">
                  <w:pPr>
                    <w:tabs>
                      <w:tab w:val="left" w:pos="566"/>
                    </w:tabs>
                    <w:spacing w:after="0" w:line="240" w:lineRule="exact"/>
                    <w:ind w:firstLine="566"/>
                    <w:jc w:val="both"/>
                    <w:rPr>
                      <w:rFonts w:ascii="Times New Roman" w:eastAsia="ヒラギノ明朝 Pro W3" w:hAnsi="Times New Roman" w:cs="Times New Roman"/>
                      <w:sz w:val="18"/>
                      <w:szCs w:val="18"/>
                    </w:rPr>
                  </w:pPr>
                  <w:r w:rsidRPr="00B10E2D">
                    <w:rPr>
                      <w:rFonts w:ascii="Times New Roman" w:eastAsia="ヒラギノ明朝 Pro W3" w:hAnsi="Times New Roman" w:cs="Times New Roman"/>
                      <w:b/>
                      <w:sz w:val="18"/>
                      <w:szCs w:val="18"/>
                    </w:rPr>
                    <w:t>(a)</w:t>
                  </w:r>
                  <w:r w:rsidRPr="00B10E2D">
                    <w:rPr>
                      <w:rFonts w:ascii="Times New Roman" w:eastAsia="ヒラギノ明朝 Pro W3" w:hAnsi="Times New Roman" w:cs="Times New Roman"/>
                      <w:sz w:val="18"/>
                      <w:szCs w:val="18"/>
                    </w:rPr>
                    <w:t xml:space="preserve"> 6 </w:t>
                  </w:r>
                  <w:proofErr w:type="spellStart"/>
                  <w:r w:rsidRPr="00B10E2D">
                    <w:rPr>
                      <w:rFonts w:ascii="Times New Roman" w:eastAsia="ヒラギノ明朝 Pro W3" w:hAnsi="Times New Roman" w:cs="Times New Roman"/>
                      <w:sz w:val="18"/>
                      <w:szCs w:val="18"/>
                    </w:rPr>
                    <w:t>ncı</w:t>
                  </w:r>
                  <w:proofErr w:type="spellEnd"/>
                  <w:r w:rsidRPr="00B10E2D">
                    <w:rPr>
                      <w:rFonts w:ascii="Times New Roman" w:eastAsia="ヒラギノ明朝 Pro W3" w:hAnsi="Times New Roman" w:cs="Times New Roman"/>
                      <w:sz w:val="18"/>
                      <w:szCs w:val="18"/>
                    </w:rPr>
                    <w:t xml:space="preserve"> paragraftan önce gelmek üzere aşağıdaki başlık eklenmiştir.</w:t>
                  </w:r>
                </w:p>
                <w:p w:rsidR="00B10E2D" w:rsidRPr="00B10E2D" w:rsidRDefault="00B10E2D" w:rsidP="00B10E2D">
                  <w:pPr>
                    <w:tabs>
                      <w:tab w:val="left" w:pos="566"/>
                    </w:tabs>
                    <w:spacing w:after="0" w:line="240" w:lineRule="exact"/>
                    <w:ind w:firstLine="566"/>
                    <w:jc w:val="both"/>
                    <w:rPr>
                      <w:rFonts w:ascii="Times New Roman" w:eastAsia="ヒラギノ明朝 Pro W3" w:hAnsi="Times New Roman" w:cs="Times New Roman"/>
                      <w:sz w:val="18"/>
                      <w:szCs w:val="18"/>
                    </w:rPr>
                  </w:pPr>
                  <w:r w:rsidRPr="00B10E2D">
                    <w:rPr>
                      <w:rFonts w:ascii="Times New Roman" w:eastAsia="ヒラギノ明朝 Pro W3" w:hAnsi="Times New Roman" w:cs="Times New Roman"/>
                      <w:sz w:val="18"/>
                      <w:szCs w:val="18"/>
                    </w:rPr>
                    <w:t>“</w:t>
                  </w:r>
                  <w:r w:rsidRPr="00B10E2D">
                    <w:rPr>
                      <w:rFonts w:ascii="Times New Roman" w:eastAsia="ヒラギノ明朝 Pro W3" w:hAnsi="Times New Roman" w:cs="Times New Roman"/>
                      <w:b/>
                      <w:sz w:val="18"/>
                      <w:szCs w:val="18"/>
                    </w:rPr>
                    <w:t>Gayrimenkulün yatırım amaçlı gayrimenkul veya sahibi tarafından kullanılan gayrimenkul olarak sınıflandırılması</w:t>
                  </w:r>
                  <w:r w:rsidRPr="00B10E2D">
                    <w:rPr>
                      <w:rFonts w:ascii="Times New Roman" w:eastAsia="ヒラギノ明朝 Pro W3" w:hAnsi="Times New Roman" w:cs="Times New Roman"/>
                      <w:sz w:val="18"/>
                      <w:szCs w:val="18"/>
                    </w:rPr>
                    <w:t>”</w:t>
                  </w:r>
                </w:p>
                <w:p w:rsidR="00B10E2D" w:rsidRPr="00B10E2D" w:rsidRDefault="00B10E2D" w:rsidP="00B10E2D">
                  <w:pPr>
                    <w:tabs>
                      <w:tab w:val="left" w:pos="566"/>
                    </w:tabs>
                    <w:spacing w:after="0" w:line="240" w:lineRule="exact"/>
                    <w:ind w:firstLine="566"/>
                    <w:jc w:val="both"/>
                    <w:rPr>
                      <w:rFonts w:ascii="Times New Roman" w:eastAsia="ヒラギノ明朝 Pro W3" w:hAnsi="Times New Roman" w:cs="Times New Roman"/>
                      <w:sz w:val="18"/>
                      <w:szCs w:val="18"/>
                    </w:rPr>
                  </w:pPr>
                  <w:r w:rsidRPr="00B10E2D">
                    <w:rPr>
                      <w:rFonts w:ascii="Times New Roman" w:eastAsia="ヒラギノ明朝 Pro W3" w:hAnsi="Times New Roman" w:cs="Times New Roman"/>
                      <w:b/>
                      <w:sz w:val="18"/>
                      <w:szCs w:val="18"/>
                    </w:rPr>
                    <w:t>(b)</w:t>
                  </w:r>
                  <w:r w:rsidRPr="00B10E2D">
                    <w:rPr>
                      <w:rFonts w:ascii="Times New Roman" w:eastAsia="ヒラギノ明朝 Pro W3" w:hAnsi="Times New Roman" w:cs="Times New Roman"/>
                      <w:sz w:val="18"/>
                      <w:szCs w:val="18"/>
                    </w:rPr>
                    <w:t xml:space="preserve"> 14 üncü paragrafından sonra gelmek üzere aşağıdaki 14A paragrafı eklenmiştir.</w:t>
                  </w:r>
                </w:p>
                <w:p w:rsidR="00B10E2D" w:rsidRPr="00B10E2D" w:rsidRDefault="00B10E2D" w:rsidP="00B10E2D">
                  <w:pPr>
                    <w:tabs>
                      <w:tab w:val="left" w:pos="566"/>
                    </w:tabs>
                    <w:spacing w:after="0" w:line="240" w:lineRule="exact"/>
                    <w:ind w:firstLine="566"/>
                    <w:jc w:val="both"/>
                    <w:rPr>
                      <w:rFonts w:ascii="Times New Roman" w:eastAsia="ヒラギノ明朝 Pro W3" w:hAnsi="Times New Roman" w:cs="Times New Roman"/>
                      <w:sz w:val="18"/>
                      <w:szCs w:val="18"/>
                    </w:rPr>
                  </w:pPr>
                  <w:r w:rsidRPr="00B10E2D">
                    <w:rPr>
                      <w:rFonts w:ascii="Times New Roman" w:eastAsia="ヒラギノ明朝 Pro W3" w:hAnsi="Times New Roman" w:cs="Times New Roman"/>
                      <w:sz w:val="18"/>
                      <w:szCs w:val="18"/>
                    </w:rPr>
                    <w:t xml:space="preserve">“14A Yatırım amaçlı gayrimenkul ediniminin; bir varlık veya varlık grubu edinimi mi yoksa TFRS 3 İşletme Birleşmeleri Standardı kapsamında bir işletme birleşmesi mi olduğunun belirlenmesi için de muhakeme gereklidir. Yatırım amaçlı gayrimenkul ediniminin bir işletme birleşmesi olup olmadığının belirlenmesinde TFRS 3 dikkate alınır. Bu Standardın 7-14 üncü paragraflarındaki hükümler, gayrimenkul ediniminin TFRS 3’te tanımlanan şekilde bir işletme birleşmesi olup olmadığının belirlenmesiyle değil, gayrimenkulün sahibi tarafından kullanılan gayrimenkul mü yoksa yatırım amaçlı gayrimenkul mü olduğunun belirlenmesiyle ilgilidir. Belirli bir işlemin TFRS 3’te tanımlanan şekilde bir işletme birleşmesi tanımını karşılayıp karşılamadığının ve bu Standartta tanımlanan yatırım amaçlı bir gayrimenkul içerip içermediğinin belirlenmesi, her iki Standardın ayrı </w:t>
                  </w:r>
                  <w:proofErr w:type="spellStart"/>
                  <w:r w:rsidRPr="00B10E2D">
                    <w:rPr>
                      <w:rFonts w:ascii="Times New Roman" w:eastAsia="ヒラギノ明朝 Pro W3" w:hAnsi="Times New Roman" w:cs="Times New Roman"/>
                      <w:sz w:val="18"/>
                      <w:szCs w:val="18"/>
                    </w:rPr>
                    <w:t>ayrı</w:t>
                  </w:r>
                  <w:proofErr w:type="spellEnd"/>
                  <w:r w:rsidRPr="00B10E2D">
                    <w:rPr>
                      <w:rFonts w:ascii="Times New Roman" w:eastAsia="ヒラギノ明朝 Pro W3" w:hAnsi="Times New Roman" w:cs="Times New Roman"/>
                      <w:sz w:val="18"/>
                      <w:szCs w:val="18"/>
                    </w:rPr>
                    <w:t xml:space="preserve"> uygulanmasını gerektirir.”</w:t>
                  </w:r>
                </w:p>
                <w:p w:rsidR="00B10E2D" w:rsidRPr="00B10E2D" w:rsidRDefault="00B10E2D" w:rsidP="00B10E2D">
                  <w:pPr>
                    <w:tabs>
                      <w:tab w:val="left" w:pos="566"/>
                    </w:tabs>
                    <w:spacing w:after="0" w:line="240" w:lineRule="exact"/>
                    <w:ind w:firstLine="566"/>
                    <w:jc w:val="both"/>
                    <w:rPr>
                      <w:rFonts w:ascii="Times New Roman" w:eastAsia="ヒラギノ明朝 Pro W3" w:hAnsi="Times New Roman" w:cs="Times New Roman"/>
                      <w:sz w:val="18"/>
                      <w:szCs w:val="18"/>
                    </w:rPr>
                  </w:pPr>
                  <w:r w:rsidRPr="00B10E2D">
                    <w:rPr>
                      <w:rFonts w:ascii="Times New Roman" w:eastAsia="ヒラギノ明朝 Pro W3" w:hAnsi="Times New Roman" w:cs="Times New Roman"/>
                      <w:sz w:val="18"/>
                      <w:szCs w:val="18"/>
                    </w:rPr>
                    <w:t>(c) 84 üncü paragrafından sonra gelmek üzere aşağıdaki başlık ve 84A paragrafı eklenmiştir.</w:t>
                  </w:r>
                </w:p>
                <w:p w:rsidR="00B10E2D" w:rsidRPr="00B10E2D" w:rsidRDefault="00B10E2D" w:rsidP="00B10E2D">
                  <w:pPr>
                    <w:tabs>
                      <w:tab w:val="left" w:pos="566"/>
                    </w:tabs>
                    <w:spacing w:after="0" w:line="240" w:lineRule="exact"/>
                    <w:ind w:firstLine="566"/>
                    <w:jc w:val="both"/>
                    <w:rPr>
                      <w:rFonts w:ascii="Times New Roman" w:eastAsia="ヒラギノ明朝 Pro W3" w:hAnsi="Times New Roman" w:cs="Times New Roman"/>
                      <w:sz w:val="18"/>
                      <w:szCs w:val="18"/>
                    </w:rPr>
                  </w:pPr>
                  <w:r w:rsidRPr="00B10E2D">
                    <w:rPr>
                      <w:rFonts w:ascii="Times New Roman" w:eastAsia="ヒラギノ明朝 Pro W3" w:hAnsi="Times New Roman" w:cs="Times New Roman"/>
                      <w:sz w:val="18"/>
                      <w:szCs w:val="18"/>
                    </w:rPr>
                    <w:t>“</w:t>
                  </w:r>
                  <w:r w:rsidRPr="00B10E2D">
                    <w:rPr>
                      <w:rFonts w:ascii="Times New Roman" w:eastAsia="ヒラギノ明朝 Pro W3" w:hAnsi="Times New Roman" w:cs="Times New Roman"/>
                      <w:b/>
                      <w:sz w:val="18"/>
                      <w:szCs w:val="18"/>
                    </w:rPr>
                    <w:t>İşletme Birleşmeleri</w:t>
                  </w:r>
                </w:p>
                <w:p w:rsidR="00B10E2D" w:rsidRPr="00B10E2D" w:rsidRDefault="00B10E2D" w:rsidP="00B10E2D">
                  <w:pPr>
                    <w:tabs>
                      <w:tab w:val="left" w:pos="566"/>
                    </w:tabs>
                    <w:spacing w:after="0" w:line="240" w:lineRule="exact"/>
                    <w:ind w:firstLine="566"/>
                    <w:jc w:val="both"/>
                    <w:rPr>
                      <w:rFonts w:ascii="Times New Roman" w:eastAsia="ヒラギノ明朝 Pro W3" w:hAnsi="Times New Roman" w:cs="Times New Roman"/>
                      <w:sz w:val="18"/>
                      <w:szCs w:val="18"/>
                    </w:rPr>
                  </w:pPr>
                  <w:r w:rsidRPr="00B10E2D">
                    <w:rPr>
                      <w:rFonts w:ascii="Times New Roman" w:eastAsia="ヒラギノ明朝 Pro W3" w:hAnsi="Times New Roman" w:cs="Times New Roman"/>
                      <w:sz w:val="18"/>
                      <w:szCs w:val="18"/>
                    </w:rPr>
                    <w:t xml:space="preserve">84A 2011-2013 Dönemine İlişkin Yıllık İyileştirmeler değişikliğiyle bu Standarda 14A paragrafı ve 6 </w:t>
                  </w:r>
                  <w:proofErr w:type="spellStart"/>
                  <w:r w:rsidRPr="00B10E2D">
                    <w:rPr>
                      <w:rFonts w:ascii="Times New Roman" w:eastAsia="ヒラギノ明朝 Pro W3" w:hAnsi="Times New Roman" w:cs="Times New Roman"/>
                      <w:sz w:val="18"/>
                      <w:szCs w:val="18"/>
                    </w:rPr>
                    <w:t>ncı</w:t>
                  </w:r>
                  <w:proofErr w:type="spellEnd"/>
                  <w:r w:rsidRPr="00B10E2D">
                    <w:rPr>
                      <w:rFonts w:ascii="Times New Roman" w:eastAsia="ヒラギノ明朝 Pro W3" w:hAnsi="Times New Roman" w:cs="Times New Roman"/>
                      <w:sz w:val="18"/>
                      <w:szCs w:val="18"/>
                    </w:rPr>
                    <w:t xml:space="preserve"> paragraftan önce gelmek üzere bir başlık eklenmiştir. Bu değişiklik ilk uygulandığı yıllık hesap döneminin başından itibaren gerçekleşen yatırım amaçlı gayrimenkul edinimlerine ileriye yönelik olarak uygulanır. Dolayısıyla önceki hesap dönemlerinde gerçekleşen yatırım amaçlı gayrimenkul edinimlerinin muhasebeleştirilmesinde herhangi bir düzeltme yapılmaz. Bununla birlikte, bu değişiklik, gerekli olan bilginin elde edilebilir olması şartıyla, yürürlük tarihinde veya sonrasında ancak ilk yıllık hesap döneminin başından önce gerçekleşen yatırım amaçlı gayrimenkul edinimlerinden tercih edilenlerine uygulanabilir.”</w:t>
                  </w:r>
                </w:p>
                <w:p w:rsidR="00B10E2D" w:rsidRPr="00B10E2D" w:rsidRDefault="00B10E2D" w:rsidP="00B10E2D">
                  <w:pPr>
                    <w:tabs>
                      <w:tab w:val="left" w:pos="566"/>
                    </w:tabs>
                    <w:spacing w:after="0" w:line="240" w:lineRule="exact"/>
                    <w:ind w:firstLine="566"/>
                    <w:jc w:val="both"/>
                    <w:rPr>
                      <w:rFonts w:ascii="Times New Roman" w:eastAsia="ヒラギノ明朝 Pro W3" w:hAnsi="Times New Roman" w:cs="Times New Roman"/>
                      <w:sz w:val="18"/>
                      <w:szCs w:val="18"/>
                    </w:rPr>
                  </w:pPr>
                  <w:r w:rsidRPr="00B10E2D">
                    <w:rPr>
                      <w:rFonts w:ascii="Times New Roman" w:eastAsia="ヒラギノ明朝 Pro W3" w:hAnsi="Times New Roman" w:cs="Times New Roman"/>
                      <w:sz w:val="18"/>
                      <w:szCs w:val="18"/>
                    </w:rPr>
                    <w:t>(ç) 85C paragrafından sonra gelmek üzere aşağıdaki 85D paragrafı eklenmiştir.</w:t>
                  </w:r>
                </w:p>
                <w:p w:rsidR="00B10E2D" w:rsidRPr="00B10E2D" w:rsidRDefault="00B10E2D" w:rsidP="00B10E2D">
                  <w:pPr>
                    <w:tabs>
                      <w:tab w:val="left" w:pos="566"/>
                    </w:tabs>
                    <w:spacing w:after="0" w:line="240" w:lineRule="exact"/>
                    <w:ind w:firstLine="566"/>
                    <w:jc w:val="both"/>
                    <w:rPr>
                      <w:rFonts w:ascii="Times New Roman" w:eastAsia="ヒラギノ明朝 Pro W3" w:hAnsi="Times New Roman" w:cs="Times New Roman"/>
                      <w:sz w:val="18"/>
                      <w:szCs w:val="18"/>
                    </w:rPr>
                  </w:pPr>
                  <w:r w:rsidRPr="00B10E2D">
                    <w:rPr>
                      <w:rFonts w:ascii="Times New Roman" w:eastAsia="ヒラギノ明朝 Pro W3" w:hAnsi="Times New Roman" w:cs="Times New Roman"/>
                      <w:sz w:val="18"/>
                      <w:szCs w:val="18"/>
                    </w:rPr>
                    <w:t xml:space="preserve">“85D 2011-2013 Dönemine İlişkin Yıllık İyileştirmeler değişikliğiyle bu Standarda 6 </w:t>
                  </w:r>
                  <w:proofErr w:type="spellStart"/>
                  <w:r w:rsidRPr="00B10E2D">
                    <w:rPr>
                      <w:rFonts w:ascii="Times New Roman" w:eastAsia="ヒラギノ明朝 Pro W3" w:hAnsi="Times New Roman" w:cs="Times New Roman"/>
                      <w:sz w:val="18"/>
                      <w:szCs w:val="18"/>
                    </w:rPr>
                    <w:t>ncı</w:t>
                  </w:r>
                  <w:proofErr w:type="spellEnd"/>
                  <w:r w:rsidRPr="00B10E2D">
                    <w:rPr>
                      <w:rFonts w:ascii="Times New Roman" w:eastAsia="ヒラギノ明朝 Pro W3" w:hAnsi="Times New Roman" w:cs="Times New Roman"/>
                      <w:sz w:val="18"/>
                      <w:szCs w:val="18"/>
                    </w:rPr>
                    <w:t xml:space="preserve"> paragraftan önceki ve 84 üncü paragraftan sonraki başlıklar ile 14A ve 84A paragrafları eklenmiştir. Bu değişiklik 1 Temmuz 2014 tarihinde veya sonrasında başlayan yıllık hesap dönemlerinde uygulanır. Erken uygulamaya izin verilmektedir. Bu durumda, anılan husus dipnotlarda açıklanır.”</w:t>
                  </w:r>
                </w:p>
                <w:p w:rsidR="00B10E2D" w:rsidRPr="00B10E2D" w:rsidRDefault="00B10E2D" w:rsidP="00B10E2D">
                  <w:pPr>
                    <w:tabs>
                      <w:tab w:val="left" w:pos="566"/>
                    </w:tabs>
                    <w:spacing w:after="0" w:line="240" w:lineRule="exact"/>
                    <w:ind w:firstLine="566"/>
                    <w:jc w:val="both"/>
                    <w:rPr>
                      <w:rFonts w:ascii="Times New Roman" w:eastAsia="ヒラギノ明朝 Pro W3" w:hAnsi="Times New Roman" w:cs="Times New Roman"/>
                      <w:sz w:val="18"/>
                      <w:szCs w:val="18"/>
                    </w:rPr>
                  </w:pPr>
                  <w:r w:rsidRPr="00B10E2D">
                    <w:rPr>
                      <w:rFonts w:ascii="Times New Roman" w:eastAsia="ヒラギノ明朝 Pro W3" w:hAnsi="Times New Roman" w:cs="Times New Roman"/>
                      <w:b/>
                      <w:sz w:val="18"/>
                      <w:szCs w:val="18"/>
                    </w:rPr>
                    <w:t xml:space="preserve">MADDE 6 – </w:t>
                  </w:r>
                  <w:r w:rsidRPr="00B10E2D">
                    <w:rPr>
                      <w:rFonts w:ascii="Times New Roman" w:eastAsia="ヒラギノ明朝 Pro W3" w:hAnsi="Times New Roman" w:cs="Times New Roman"/>
                      <w:sz w:val="18"/>
                      <w:szCs w:val="18"/>
                    </w:rPr>
                    <w:t xml:space="preserve">Bu Tebliğ, </w:t>
                  </w:r>
                  <w:proofErr w:type="gramStart"/>
                  <w:r w:rsidRPr="00B10E2D">
                    <w:rPr>
                      <w:rFonts w:ascii="Times New Roman" w:eastAsia="ヒラギノ明朝 Pro W3" w:hAnsi="Times New Roman" w:cs="Times New Roman"/>
                      <w:sz w:val="18"/>
                      <w:szCs w:val="18"/>
                    </w:rPr>
                    <w:t>30/6/2014</w:t>
                  </w:r>
                  <w:proofErr w:type="gramEnd"/>
                  <w:r w:rsidRPr="00B10E2D">
                    <w:rPr>
                      <w:rFonts w:ascii="Times New Roman" w:eastAsia="ヒラギノ明朝 Pro W3" w:hAnsi="Times New Roman" w:cs="Times New Roman"/>
                      <w:sz w:val="18"/>
                      <w:szCs w:val="18"/>
                    </w:rPr>
                    <w:t xml:space="preserve"> tarihinden sonra başlayan hesap dönemlerinde geçerli olmak üzere, yayımı tarihinde yürürlüğe girer.</w:t>
                  </w:r>
                </w:p>
                <w:p w:rsidR="00B10E2D" w:rsidRPr="00B10E2D" w:rsidRDefault="00B10E2D" w:rsidP="00B10E2D">
                  <w:pPr>
                    <w:tabs>
                      <w:tab w:val="left" w:pos="566"/>
                    </w:tabs>
                    <w:spacing w:after="0" w:line="240" w:lineRule="exact"/>
                    <w:ind w:firstLine="566"/>
                    <w:jc w:val="both"/>
                    <w:rPr>
                      <w:rFonts w:ascii="Times New Roman" w:eastAsia="ヒラギノ明朝 Pro W3" w:hAnsi="Times New Roman" w:cs="Times New Roman"/>
                      <w:sz w:val="18"/>
                      <w:szCs w:val="18"/>
                    </w:rPr>
                  </w:pPr>
                  <w:r w:rsidRPr="00B10E2D">
                    <w:rPr>
                      <w:rFonts w:ascii="Times New Roman" w:eastAsia="ヒラギノ明朝 Pro W3" w:hAnsi="Times New Roman" w:cs="Times New Roman"/>
                      <w:b/>
                      <w:sz w:val="18"/>
                      <w:szCs w:val="18"/>
                    </w:rPr>
                    <w:t>MADDE 7 –</w:t>
                  </w:r>
                  <w:r w:rsidRPr="00B10E2D">
                    <w:rPr>
                      <w:rFonts w:ascii="Times New Roman" w:eastAsia="ヒラギノ明朝 Pro W3" w:hAnsi="Times New Roman" w:cs="Times New Roman"/>
                      <w:sz w:val="18"/>
                      <w:szCs w:val="18"/>
                    </w:rPr>
                    <w:t xml:space="preserve"> Bu Tebliğ hükümlerini Kamu Gözetimi, Muhasebe ve Denetim Standartları Kurumu Başkanı yürütür.</w:t>
                  </w:r>
                </w:p>
                <w:p w:rsidR="00B10E2D" w:rsidRPr="00B10E2D" w:rsidRDefault="00B10E2D" w:rsidP="00B10E2D">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B10E2D" w:rsidRPr="00B10E2D" w:rsidRDefault="00B10E2D" w:rsidP="00B10E2D">
            <w:pPr>
              <w:spacing w:after="0" w:line="240" w:lineRule="auto"/>
              <w:jc w:val="center"/>
              <w:rPr>
                <w:rFonts w:ascii="Times New Roman" w:eastAsia="Times New Roman" w:hAnsi="Times New Roman" w:cs="Times New Roman"/>
                <w:sz w:val="20"/>
                <w:szCs w:val="20"/>
                <w:lang w:eastAsia="tr-TR"/>
              </w:rPr>
            </w:pPr>
          </w:p>
        </w:tc>
      </w:tr>
    </w:tbl>
    <w:p w:rsidR="00B10E2D" w:rsidRPr="00B10E2D" w:rsidRDefault="00B10E2D" w:rsidP="00B10E2D">
      <w:pPr>
        <w:spacing w:after="0" w:line="240" w:lineRule="auto"/>
        <w:jc w:val="center"/>
        <w:rPr>
          <w:rFonts w:ascii="Times New Roman" w:eastAsia="Times New Roman" w:hAnsi="Times New Roman" w:cs="Times New Roman"/>
          <w:sz w:val="24"/>
          <w:szCs w:val="24"/>
          <w:lang w:eastAsia="tr-TR"/>
        </w:rPr>
      </w:pPr>
    </w:p>
    <w:p w:rsidR="00FC79ED" w:rsidRDefault="00FC79ED"/>
    <w:sectPr w:rsidR="00FC79ED" w:rsidSect="00FC79E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SimSun"/>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10E2D"/>
    <w:rsid w:val="00B10E2D"/>
    <w:rsid w:val="00FC79E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9E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B10E2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ık"/>
    <w:rsid w:val="00B10E2D"/>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B10E2D"/>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B10E2D"/>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divs>
    <w:div w:id="954291963">
      <w:bodyDiv w:val="1"/>
      <w:marLeft w:val="0"/>
      <w:marRight w:val="0"/>
      <w:marTop w:val="0"/>
      <w:marBottom w:val="0"/>
      <w:divBdr>
        <w:top w:val="none" w:sz="0" w:space="0" w:color="auto"/>
        <w:left w:val="none" w:sz="0" w:space="0" w:color="auto"/>
        <w:bottom w:val="none" w:sz="0" w:space="0" w:color="auto"/>
        <w:right w:val="none" w:sz="0" w:space="0" w:color="auto"/>
      </w:divBdr>
      <w:divsChild>
        <w:div w:id="332874922">
          <w:marLeft w:val="0"/>
          <w:marRight w:val="0"/>
          <w:marTop w:val="0"/>
          <w:marBottom w:val="0"/>
          <w:divBdr>
            <w:top w:val="none" w:sz="0" w:space="0" w:color="auto"/>
            <w:left w:val="none" w:sz="0" w:space="0" w:color="auto"/>
            <w:bottom w:val="none" w:sz="0" w:space="0" w:color="auto"/>
            <w:right w:val="none" w:sz="0" w:space="0" w:color="auto"/>
          </w:divBdr>
          <w:divsChild>
            <w:div w:id="1246571600">
              <w:marLeft w:val="0"/>
              <w:marRight w:val="0"/>
              <w:marTop w:val="0"/>
              <w:marBottom w:val="0"/>
              <w:divBdr>
                <w:top w:val="none" w:sz="0" w:space="0" w:color="auto"/>
                <w:left w:val="none" w:sz="0" w:space="0" w:color="auto"/>
                <w:bottom w:val="none" w:sz="0" w:space="0" w:color="auto"/>
                <w:right w:val="none" w:sz="0" w:space="0" w:color="auto"/>
              </w:divBdr>
              <w:divsChild>
                <w:div w:id="37207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649</Words>
  <Characters>3700</Characters>
  <Application>Microsoft Office Word</Application>
  <DocSecurity>0</DocSecurity>
  <Lines>30</Lines>
  <Paragraphs>8</Paragraphs>
  <ScaleCrop>false</ScaleCrop>
  <Company/>
  <LinksUpToDate>false</LinksUpToDate>
  <CharactersWithSpaces>4341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2014-09-18T05:31:00Z</dcterms:created>
  <dcterms:modified xsi:type="dcterms:W3CDTF">2014-09-18T05:32:00Z</dcterms:modified>
</cp:coreProperties>
</file>