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A2084" w:rsidRPr="008A2084" w:rsidTr="008A2084">
        <w:trPr>
          <w:jc w:val="center"/>
        </w:trPr>
        <w:tc>
          <w:tcPr>
            <w:tcW w:w="9104" w:type="dxa"/>
            <w:hideMark/>
          </w:tcPr>
          <w:tbl>
            <w:tblPr>
              <w:tblW w:w="8789" w:type="dxa"/>
              <w:jc w:val="center"/>
              <w:tblLook w:val="01E0"/>
            </w:tblPr>
            <w:tblGrid>
              <w:gridCol w:w="2931"/>
              <w:gridCol w:w="2931"/>
              <w:gridCol w:w="2927"/>
            </w:tblGrid>
            <w:tr w:rsidR="008A2084" w:rsidRPr="008A2084">
              <w:trPr>
                <w:trHeight w:val="317"/>
                <w:jc w:val="center"/>
              </w:trPr>
              <w:tc>
                <w:tcPr>
                  <w:tcW w:w="2931" w:type="dxa"/>
                  <w:tcBorders>
                    <w:top w:val="nil"/>
                    <w:left w:val="nil"/>
                    <w:bottom w:val="single" w:sz="4" w:space="0" w:color="660066"/>
                    <w:right w:val="nil"/>
                  </w:tcBorders>
                  <w:vAlign w:val="center"/>
                  <w:hideMark/>
                </w:tcPr>
                <w:p w:rsidR="008A2084" w:rsidRPr="008A2084" w:rsidRDefault="008A2084" w:rsidP="008A208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A2084">
                    <w:rPr>
                      <w:rFonts w:ascii="Arial" w:eastAsia="Times New Roman" w:hAnsi="Arial" w:cs="Arial"/>
                      <w:sz w:val="16"/>
                      <w:szCs w:val="16"/>
                      <w:lang w:eastAsia="tr-TR"/>
                    </w:rPr>
                    <w:t xml:space="preserve">24 Eylül </w:t>
                  </w:r>
                  <w:proofErr w:type="gramStart"/>
                  <w:r w:rsidRPr="008A2084">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8A2084" w:rsidRPr="008A2084" w:rsidRDefault="008A2084" w:rsidP="008A208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A208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A2084" w:rsidRPr="008A2084" w:rsidRDefault="008A2084" w:rsidP="008A2084">
                  <w:pPr>
                    <w:spacing w:before="100" w:beforeAutospacing="1" w:after="100" w:afterAutospacing="1" w:line="240" w:lineRule="auto"/>
                    <w:jc w:val="right"/>
                    <w:rPr>
                      <w:rFonts w:ascii="Arial" w:eastAsia="Times New Roman" w:hAnsi="Arial" w:cs="Arial"/>
                      <w:sz w:val="16"/>
                      <w:szCs w:val="16"/>
                      <w:lang w:eastAsia="tr-TR"/>
                    </w:rPr>
                  </w:pPr>
                  <w:proofErr w:type="gramStart"/>
                  <w:r w:rsidRPr="008A2084">
                    <w:rPr>
                      <w:rFonts w:ascii="Arial" w:eastAsia="Times New Roman" w:hAnsi="Arial" w:cs="Arial"/>
                      <w:sz w:val="16"/>
                      <w:szCs w:val="16"/>
                      <w:lang w:eastAsia="tr-TR"/>
                    </w:rPr>
                    <w:t>Sayı : 29129</w:t>
                  </w:r>
                  <w:proofErr w:type="gramEnd"/>
                </w:p>
              </w:tc>
            </w:tr>
            <w:tr w:rsidR="008A2084" w:rsidRPr="008A2084">
              <w:trPr>
                <w:trHeight w:val="480"/>
                <w:jc w:val="center"/>
              </w:trPr>
              <w:tc>
                <w:tcPr>
                  <w:tcW w:w="8789" w:type="dxa"/>
                  <w:gridSpan w:val="3"/>
                  <w:vAlign w:val="center"/>
                  <w:hideMark/>
                </w:tcPr>
                <w:p w:rsidR="008A2084" w:rsidRPr="008A2084" w:rsidRDefault="008A2084" w:rsidP="008A2084">
                  <w:pPr>
                    <w:spacing w:before="100" w:beforeAutospacing="1" w:after="100" w:afterAutospacing="1" w:line="240" w:lineRule="auto"/>
                    <w:jc w:val="center"/>
                    <w:rPr>
                      <w:rFonts w:ascii="Arial" w:eastAsia="Times New Roman" w:hAnsi="Arial" w:cs="Arial"/>
                      <w:b/>
                      <w:color w:val="000080"/>
                      <w:sz w:val="18"/>
                      <w:szCs w:val="18"/>
                      <w:lang w:eastAsia="tr-TR"/>
                    </w:rPr>
                  </w:pPr>
                  <w:r w:rsidRPr="008A2084">
                    <w:rPr>
                      <w:rFonts w:ascii="Arial" w:eastAsia="Times New Roman" w:hAnsi="Arial" w:cs="Arial"/>
                      <w:b/>
                      <w:color w:val="000080"/>
                      <w:sz w:val="18"/>
                      <w:szCs w:val="18"/>
                      <w:lang w:eastAsia="tr-TR"/>
                    </w:rPr>
                    <w:t>TEBLİĞ</w:t>
                  </w:r>
                </w:p>
              </w:tc>
            </w:tr>
            <w:tr w:rsidR="008A2084" w:rsidRPr="008A2084">
              <w:trPr>
                <w:trHeight w:val="480"/>
                <w:jc w:val="center"/>
              </w:trPr>
              <w:tc>
                <w:tcPr>
                  <w:tcW w:w="8789" w:type="dxa"/>
                  <w:gridSpan w:val="3"/>
                  <w:vAlign w:val="center"/>
                  <w:hideMark/>
                </w:tcPr>
                <w:p w:rsidR="008A2084" w:rsidRPr="008A2084" w:rsidRDefault="008A2084" w:rsidP="008A2084">
                  <w:pPr>
                    <w:tabs>
                      <w:tab w:val="left" w:pos="566"/>
                    </w:tabs>
                    <w:spacing w:after="0" w:line="240" w:lineRule="exact"/>
                    <w:rPr>
                      <w:rFonts w:ascii="Times New Roman" w:eastAsia="ヒラギノ明朝 Pro W3" w:hAnsi="Times New Roman" w:cs="Times New Roman"/>
                      <w:b/>
                      <w:sz w:val="18"/>
                      <w:szCs w:val="18"/>
                    </w:rPr>
                  </w:pPr>
                  <w:r w:rsidRPr="008A2084">
                    <w:rPr>
                      <w:rFonts w:ascii="Times New Roman" w:eastAsia="ヒラギノ明朝 Pro W3" w:hAnsi="Times New Roman" w:cs="Times New Roman"/>
                      <w:b/>
                      <w:sz w:val="18"/>
                      <w:szCs w:val="18"/>
                    </w:rPr>
                    <w:t>Maliye Bakanlığından:</w:t>
                  </w:r>
                </w:p>
                <w:p w:rsidR="008A2084" w:rsidRPr="008A2084" w:rsidRDefault="008A2084" w:rsidP="008A2084">
                  <w:pPr>
                    <w:spacing w:after="0" w:line="240" w:lineRule="exact"/>
                    <w:jc w:val="center"/>
                    <w:rPr>
                      <w:rFonts w:ascii="Times New Roman" w:eastAsia="ヒラギノ明朝 Pro W3" w:hAnsi="Times New Roman" w:cs="Times New Roman"/>
                      <w:b/>
                      <w:sz w:val="18"/>
                      <w:szCs w:val="18"/>
                    </w:rPr>
                  </w:pPr>
                  <w:r w:rsidRPr="008A2084">
                    <w:rPr>
                      <w:rFonts w:ascii="Times New Roman" w:eastAsia="ヒラギノ明朝 Pro W3" w:hAnsi="Times New Roman" w:cs="Times New Roman"/>
                      <w:b/>
                      <w:sz w:val="18"/>
                      <w:szCs w:val="18"/>
                    </w:rPr>
                    <w:t>VERGİ USUL KANUNU GENEL TEBLİĞİ</w:t>
                  </w:r>
                </w:p>
                <w:p w:rsidR="008A2084" w:rsidRDefault="008A2084" w:rsidP="008A2084">
                  <w:pPr>
                    <w:spacing w:after="0" w:line="240" w:lineRule="exact"/>
                    <w:jc w:val="center"/>
                    <w:rPr>
                      <w:rFonts w:ascii="Times New Roman" w:eastAsia="ヒラギノ明朝 Pro W3" w:hAnsi="Times New Roman" w:cs="Times New Roman"/>
                      <w:b/>
                      <w:sz w:val="18"/>
                      <w:szCs w:val="18"/>
                    </w:rPr>
                  </w:pPr>
                  <w:r w:rsidRPr="008A2084">
                    <w:rPr>
                      <w:rFonts w:ascii="Times New Roman" w:eastAsia="ヒラギノ明朝 Pro W3" w:hAnsi="Times New Roman" w:cs="Times New Roman"/>
                      <w:b/>
                      <w:sz w:val="18"/>
                      <w:szCs w:val="18"/>
                    </w:rPr>
                    <w:t>(SIRA NO: 440)</w:t>
                  </w:r>
                </w:p>
                <w:p w:rsidR="008A2084" w:rsidRPr="008A2084" w:rsidRDefault="008A2084" w:rsidP="008A2084">
                  <w:pPr>
                    <w:spacing w:after="0" w:line="240" w:lineRule="exact"/>
                    <w:jc w:val="center"/>
                    <w:rPr>
                      <w:rFonts w:ascii="Times New Roman" w:eastAsia="ヒラギノ明朝 Pro W3" w:hAnsi="Times New Roman" w:cs="Times New Roman"/>
                      <w:b/>
                      <w:sz w:val="18"/>
                      <w:szCs w:val="18"/>
                    </w:rPr>
                  </w:pP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213 sayılı Vergi Usul Kanununun 5 inci maddesinin dördüncü fıkrasında, “Mükelleflerin vergi tarhına esas olan beyanları, kesinleşen vergi ve cezaları ile vadesi geçtiği halde ödenmemiş bulunan vergi ve ceza miktarları Maliye Bakanlığınca açıklanabilir. Maliye Bakanlığı bu yetkisini mahalline devredebilir. Ayrıca, kamu görevlilerince yapılan adli ve idari soruşturmalarla ilgili olarak talep edilen bilgi ve belgeler ile bankalara, yapacakları vergi tahsiline yönelik bilgiler verilebilir. Sahte veya muhteviyatı itibariyle yanıltıcı belge düzenledikleri veya kullandıkları vergi inceleme raporuyla tespit olunanların, kanunla kurulmuş mesleki kuruluşlarına ve 3568 sayılı Kanunla kurulan birlik ve meslek odalarına bildirilmesi vergi mahremiyetini ihlal sayılmaz. Bu takdirde kendilerine bilgi verilen kişi ve kurumlar da bu maddede yazılı yasaklara uymak zorundadırlar. Maliye Bakanlığı bilgilerin açıklanmasıyla ilgili usulleri belirlemeye yetkilidir.” hükmüne yer verilmiştir.</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Bu hüküm uyarınca, </w:t>
                  </w:r>
                  <w:proofErr w:type="spellStart"/>
                  <w:r w:rsidRPr="008A2084">
                    <w:rPr>
                      <w:rFonts w:ascii="Times New Roman" w:eastAsia="ヒラギノ明朝 Pro W3" w:hAnsi="Times New Roman" w:cs="Times New Roman"/>
                      <w:sz w:val="18"/>
                      <w:szCs w:val="18"/>
                    </w:rPr>
                    <w:t>ikmalen</w:t>
                  </w:r>
                  <w:proofErr w:type="spellEnd"/>
                  <w:r w:rsidRPr="008A2084">
                    <w:rPr>
                      <w:rFonts w:ascii="Times New Roman" w:eastAsia="ヒラギノ明朝 Pro W3" w:hAnsi="Times New Roman" w:cs="Times New Roman"/>
                      <w:sz w:val="18"/>
                      <w:szCs w:val="18"/>
                    </w:rPr>
                    <w:t xml:space="preserve">, </w:t>
                  </w:r>
                  <w:proofErr w:type="spellStart"/>
                  <w:r w:rsidRPr="008A2084">
                    <w:rPr>
                      <w:rFonts w:ascii="Times New Roman" w:eastAsia="ヒラギノ明朝 Pro W3" w:hAnsi="Times New Roman" w:cs="Times New Roman"/>
                      <w:sz w:val="18"/>
                      <w:szCs w:val="18"/>
                    </w:rPr>
                    <w:t>re’sen</w:t>
                  </w:r>
                  <w:proofErr w:type="spellEnd"/>
                  <w:r w:rsidRPr="008A2084">
                    <w:rPr>
                      <w:rFonts w:ascii="Times New Roman" w:eastAsia="ヒラギノ明朝 Pro W3" w:hAnsi="Times New Roman" w:cs="Times New Roman"/>
                      <w:sz w:val="18"/>
                      <w:szCs w:val="18"/>
                    </w:rPr>
                    <w:t xml:space="preserve"> veya idarece yapılan tarhiyatlar dolayısıyla kesinleşen vergi ve cezalar ile vadesi geçtiği halde ödenmemiş vergi ve cezaların açıklanmasına ilişkin usuller </w:t>
                  </w:r>
                  <w:proofErr w:type="gramStart"/>
                  <w:r w:rsidRPr="008A2084">
                    <w:rPr>
                      <w:rFonts w:ascii="Times New Roman" w:eastAsia="ヒラギノ明朝 Pro W3" w:hAnsi="Times New Roman" w:cs="Times New Roman"/>
                      <w:sz w:val="18"/>
                      <w:szCs w:val="18"/>
                    </w:rPr>
                    <w:t>27/1/2001</w:t>
                  </w:r>
                  <w:proofErr w:type="gramEnd"/>
                  <w:r w:rsidRPr="008A2084">
                    <w:rPr>
                      <w:rFonts w:ascii="Times New Roman" w:eastAsia="ヒラギノ明朝 Pro W3" w:hAnsi="Times New Roman" w:cs="Times New Roman"/>
                      <w:sz w:val="18"/>
                      <w:szCs w:val="18"/>
                    </w:rPr>
                    <w:t xml:space="preserve"> tarihli ve 24300 sayılı Resmî Gazete’de yayımlanan 293 Sıra Numaralı Vergi Usul Kanunu Genel Tebliği ile tespit edilmiştir.</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Anılan maddenin Bakanlığımıza verdiği yetkiye istinaden;</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- 2014 yılında yapılacak açıklamaların, Türkiye genelindeki vergi dairelerinde (vergi dairesinin ilan koymaya mahsus yerlerinde asılmak suretiyle) 10 Aralık 2014-25 Aralık 2014 tarihleri, Gelir İdaresi Başkanlığı’nın internet sitesinde ise 25 Aralık 2014-31 Aralık 2014 tarihleri arasında yapılması,</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Açıklama kapsamına, her bir vergi dairesine 250.000 TL ve daha fazla borcu olan veya bu tutar ve üzerinde kesinleşen vergi ve cezası bulunan mükelleflerin alınması,</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 Yapılacak açıklamada, </w:t>
                  </w:r>
                  <w:proofErr w:type="gramStart"/>
                  <w:r w:rsidRPr="008A2084">
                    <w:rPr>
                      <w:rFonts w:ascii="Times New Roman" w:eastAsia="ヒラギノ明朝 Pro W3" w:hAnsi="Times New Roman" w:cs="Times New Roman"/>
                      <w:sz w:val="18"/>
                      <w:szCs w:val="18"/>
                    </w:rPr>
                    <w:t>31/12/2013</w:t>
                  </w:r>
                  <w:proofErr w:type="gramEnd"/>
                  <w:r w:rsidRPr="008A2084">
                    <w:rPr>
                      <w:rFonts w:ascii="Times New Roman" w:eastAsia="ヒラギノ明朝 Pro W3" w:hAnsi="Times New Roman" w:cs="Times New Roman"/>
                      <w:sz w:val="18"/>
                      <w:szCs w:val="18"/>
                    </w:rPr>
                    <w:t xml:space="preserve"> tarihi itibarıyla vadesi geldiği halde 30/11/2014 tarihi itibarıyla ödenmemiş bulunan ve </w:t>
                  </w:r>
                  <w:proofErr w:type="spellStart"/>
                  <w:r w:rsidRPr="008A2084">
                    <w:rPr>
                      <w:rFonts w:ascii="Times New Roman" w:eastAsia="ヒラギノ明朝 Pro W3" w:hAnsi="Times New Roman" w:cs="Times New Roman"/>
                      <w:sz w:val="18"/>
                      <w:szCs w:val="18"/>
                    </w:rPr>
                    <w:t>nev’i</w:t>
                  </w:r>
                  <w:proofErr w:type="spellEnd"/>
                  <w:r w:rsidRPr="008A2084">
                    <w:rPr>
                      <w:rFonts w:ascii="Times New Roman" w:eastAsia="ヒラギノ明朝 Pro W3" w:hAnsi="Times New Roman" w:cs="Times New Roman"/>
                      <w:sz w:val="18"/>
                      <w:szCs w:val="18"/>
                    </w:rPr>
                    <w:t xml:space="preserve"> itibarıyla 293 Sıra Numaralı Vergi Usul Kanunu Genel Tebliği ile açıklama kapsamına alındığı belirtilen vergi ve cezalar ile 01/6/2013-31/5/2014 tarihleri arasında kesinleşen tarhiyatların dikkate alınması,</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 Açıklanacak bilgiler, açıklamanın yapılacağı yer ve diğer hususlarda 293 Sıra Numaralı Vergi Usul Kanunu Genel Tebliği ile belirlenen esaslara uyulması, ancak sözü edilen Tebliğin “İnternet Ortamında Açıklama” başlıklı III/B bölümündeki açıklamalar uyarınca Vergi Dairesi Başkanlıkları ve Defterdarlıklar tarafından 293 Sıra Numaralı Vergi Usul Kanunu Genel Tebliğinin; (I-A) Bölümüne göre hazırlanan listelerin bir örneğinin </w:t>
                  </w:r>
                  <w:proofErr w:type="gramStart"/>
                  <w:r w:rsidRPr="008A2084">
                    <w:rPr>
                      <w:rFonts w:ascii="Times New Roman" w:eastAsia="ヒラギノ明朝 Pro W3" w:hAnsi="Times New Roman" w:cs="Times New Roman"/>
                      <w:sz w:val="18"/>
                      <w:szCs w:val="18"/>
                    </w:rPr>
                    <w:t>(</w:t>
                  </w:r>
                  <w:proofErr w:type="gramEnd"/>
                  <w:r w:rsidRPr="008A2084">
                    <w:rPr>
                      <w:rFonts w:ascii="Times New Roman" w:eastAsia="ヒラギノ明朝 Pro W3" w:hAnsi="Times New Roman" w:cs="Times New Roman"/>
                      <w:sz w:val="18"/>
                      <w:szCs w:val="18"/>
                    </w:rPr>
                    <w:t xml:space="preserve">Gelir İdaresi Başkanlığı, Uygulama ve Veri Yönetimi Daire Başkanlığı, Veri Oluşturma Yön. Enformasyonu Müdürlüğü, Yeni Ziraat Mah. Etlik Cad. No: 16 06110 </w:t>
                  </w:r>
                  <w:proofErr w:type="spellStart"/>
                  <w:r w:rsidRPr="008A2084">
                    <w:rPr>
                      <w:rFonts w:ascii="Times New Roman" w:eastAsia="ヒラギノ明朝 Pro W3" w:hAnsi="Times New Roman" w:cs="Times New Roman"/>
                      <w:sz w:val="18"/>
                      <w:szCs w:val="18"/>
                    </w:rPr>
                    <w:t>Dışkapı</w:t>
                  </w:r>
                  <w:proofErr w:type="spellEnd"/>
                  <w:r w:rsidRPr="008A2084">
                    <w:rPr>
                      <w:rFonts w:ascii="Times New Roman" w:eastAsia="ヒラギノ明朝 Pro W3" w:hAnsi="Times New Roman" w:cs="Times New Roman"/>
                      <w:sz w:val="18"/>
                      <w:szCs w:val="18"/>
                    </w:rPr>
                    <w:t>/ANKARA</w:t>
                  </w:r>
                  <w:proofErr w:type="gramStart"/>
                  <w:r w:rsidRPr="008A2084">
                    <w:rPr>
                      <w:rFonts w:ascii="Times New Roman" w:eastAsia="ヒラギノ明朝 Pro W3" w:hAnsi="Times New Roman" w:cs="Times New Roman"/>
                      <w:sz w:val="18"/>
                      <w:szCs w:val="18"/>
                    </w:rPr>
                    <w:t>)</w:t>
                  </w:r>
                  <w:proofErr w:type="gramEnd"/>
                  <w:r w:rsidRPr="008A2084">
                    <w:rPr>
                      <w:rFonts w:ascii="Times New Roman" w:eastAsia="ヒラギノ明朝 Pro W3" w:hAnsi="Times New Roman" w:cs="Times New Roman"/>
                      <w:sz w:val="18"/>
                      <w:szCs w:val="18"/>
                    </w:rPr>
                    <w:t xml:space="preserve"> ve (I-B) Bölümüne göre hazırlanan listelerin bir örneğinin (Gelir İdaresi Başkanlığı, Tahsilât ve İhtilaflı İşler Daire Başkanlığı (II), Tahsilâtın Takibi ve Değerlendirilmesi Müdürlüğü, Yeni Ziraat Mah. Etlik Cad. No: 16 06110 </w:t>
                  </w:r>
                  <w:proofErr w:type="spellStart"/>
                  <w:r w:rsidRPr="008A2084">
                    <w:rPr>
                      <w:rFonts w:ascii="Times New Roman" w:eastAsia="ヒラギノ明朝 Pro W3" w:hAnsi="Times New Roman" w:cs="Times New Roman"/>
                      <w:sz w:val="18"/>
                      <w:szCs w:val="18"/>
                    </w:rPr>
                    <w:t>Dışkapı</w:t>
                  </w:r>
                  <w:proofErr w:type="spellEnd"/>
                  <w:r w:rsidRPr="008A2084">
                    <w:rPr>
                      <w:rFonts w:ascii="Times New Roman" w:eastAsia="ヒラギノ明朝 Pro W3" w:hAnsi="Times New Roman" w:cs="Times New Roman"/>
                      <w:sz w:val="18"/>
                      <w:szCs w:val="18"/>
                    </w:rPr>
                    <w:t>/ANKARA) adresine gönderilmesi,</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Açıklama kapsamına,</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a) 5216 sayılı Büyükşehir Belediyesi Kanununun Geçici 3 üncü maddesi ve 5393 sayılı Belediye Kanununun Geçici 5 inci maddesi uyarınca Hazine Müsteşarlığı Belediye Uzlaşma Komisyonu Başkanlığına yaptıkları takas ve mahsuba ilişkin başvuruları kabul edilen, büyükşehir belediyeleri/belediyeler ve bunlara bağlı kuruluşlar ile sermayesinin %50’sinden fazlası büyükşehir belediyelerine/belediyelere ait şirketlerin vadesi </w:t>
                  </w:r>
                  <w:proofErr w:type="gramStart"/>
                  <w:r w:rsidRPr="008A2084">
                    <w:rPr>
                      <w:rFonts w:ascii="Times New Roman" w:eastAsia="ヒラギノ明朝 Pro W3" w:hAnsi="Times New Roman" w:cs="Times New Roman"/>
                      <w:sz w:val="18"/>
                      <w:szCs w:val="18"/>
                    </w:rPr>
                    <w:t>31/12/2004</w:t>
                  </w:r>
                  <w:proofErr w:type="gramEnd"/>
                  <w:r w:rsidRPr="008A2084">
                    <w:rPr>
                      <w:rFonts w:ascii="Times New Roman" w:eastAsia="ヒラギノ明朝 Pro W3" w:hAnsi="Times New Roman" w:cs="Times New Roman"/>
                      <w:sz w:val="18"/>
                      <w:szCs w:val="18"/>
                    </w:rPr>
                    <w:t xml:space="preserve"> tarihi ve öncesine rastlayan,</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b) 5216 sayılı Büyükşehir Belediyesi Kanununun Geçici 3 üncü maddesi kapsamında daha önce uzlaşmaya girmemiş olan büyükşehir belediyeleri ve bağlı idareleri ile üyeleri belediyelerden oluşan mahalli idare birliklerinden Hazine Müsteşarlığına borçlu olan ve 6111 sayılı Bazı Alacakların Yeniden Yapılandırılması ile Sosyal Sigortalar ve Genel Sağlık Sigortası Kanunu ve Diğer Bazı Kanun ve Kanun Hükmünde Kararnamelerde Değişiklik Yapılması Hakkında Kanunun 167 </w:t>
                  </w:r>
                  <w:proofErr w:type="spellStart"/>
                  <w:r w:rsidRPr="008A2084">
                    <w:rPr>
                      <w:rFonts w:ascii="Times New Roman" w:eastAsia="ヒラギノ明朝 Pro W3" w:hAnsi="Times New Roman" w:cs="Times New Roman"/>
                      <w:sz w:val="18"/>
                      <w:szCs w:val="18"/>
                    </w:rPr>
                    <w:t>nci</w:t>
                  </w:r>
                  <w:proofErr w:type="spellEnd"/>
                  <w:r w:rsidRPr="008A2084">
                    <w:rPr>
                      <w:rFonts w:ascii="Times New Roman" w:eastAsia="ヒラギノ明朝 Pro W3" w:hAnsi="Times New Roman" w:cs="Times New Roman"/>
                      <w:sz w:val="18"/>
                      <w:szCs w:val="18"/>
                    </w:rPr>
                    <w:t xml:space="preserve"> maddesine istinaden başvuruda bulunmuş olanlara ait vadesi </w:t>
                  </w:r>
                  <w:proofErr w:type="gramStart"/>
                  <w:r w:rsidRPr="008A2084">
                    <w:rPr>
                      <w:rFonts w:ascii="Times New Roman" w:eastAsia="ヒラギノ明朝 Pro W3" w:hAnsi="Times New Roman" w:cs="Times New Roman"/>
                      <w:sz w:val="18"/>
                      <w:szCs w:val="18"/>
                    </w:rPr>
                    <w:t>31/12/2004</w:t>
                  </w:r>
                  <w:proofErr w:type="gramEnd"/>
                  <w:r w:rsidRPr="008A2084">
                    <w:rPr>
                      <w:rFonts w:ascii="Times New Roman" w:eastAsia="ヒラギノ明朝 Pro W3" w:hAnsi="Times New Roman" w:cs="Times New Roman"/>
                      <w:sz w:val="18"/>
                      <w:szCs w:val="18"/>
                    </w:rPr>
                    <w:t xml:space="preserve"> tarihi ve öncesine rastlayan,</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 xml:space="preserve">c) 5228 sayılı Bazı Kanunlarda ve 178 sayılı Kanun Hükmünde Kararnamede Değişiklik Yapılması Hakkında Kanunun Geçici 6 </w:t>
                  </w:r>
                  <w:proofErr w:type="spellStart"/>
                  <w:r w:rsidRPr="008A2084">
                    <w:rPr>
                      <w:rFonts w:ascii="Times New Roman" w:eastAsia="ヒラギノ明朝 Pro W3" w:hAnsi="Times New Roman" w:cs="Times New Roman"/>
                      <w:sz w:val="18"/>
                      <w:szCs w:val="18"/>
                    </w:rPr>
                    <w:t>ncı</w:t>
                  </w:r>
                  <w:proofErr w:type="spellEnd"/>
                  <w:r w:rsidRPr="008A2084">
                    <w:rPr>
                      <w:rFonts w:ascii="Times New Roman" w:eastAsia="ヒラギノ明朝 Pro W3" w:hAnsi="Times New Roman" w:cs="Times New Roman"/>
                      <w:sz w:val="18"/>
                      <w:szCs w:val="18"/>
                    </w:rPr>
                    <w:t xml:space="preserve"> maddesi ile 5766 sayılı Amme Alacaklarının Tahsil Usulü Hakkında Kanunda ve Bazı Kanunlarda Değişiklik Yapılması Hakkında Kanunun Geçici 2 </w:t>
                  </w:r>
                  <w:proofErr w:type="spellStart"/>
                  <w:r w:rsidRPr="008A2084">
                    <w:rPr>
                      <w:rFonts w:ascii="Times New Roman" w:eastAsia="ヒラギノ明朝 Pro W3" w:hAnsi="Times New Roman" w:cs="Times New Roman"/>
                      <w:sz w:val="18"/>
                      <w:szCs w:val="18"/>
                    </w:rPr>
                    <w:t>nci</w:t>
                  </w:r>
                  <w:proofErr w:type="spellEnd"/>
                  <w:r w:rsidRPr="008A2084">
                    <w:rPr>
                      <w:rFonts w:ascii="Times New Roman" w:eastAsia="ヒラギノ明朝 Pro W3" w:hAnsi="Times New Roman" w:cs="Times New Roman"/>
                      <w:sz w:val="18"/>
                      <w:szCs w:val="18"/>
                    </w:rPr>
                    <w:t xml:space="preserve"> maddesine göre taksitlendirilen,</w:t>
                  </w:r>
                </w:p>
                <w:p w:rsid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t>ç) 6111 sayılı Bazı Alacakların Yeniden Yapılandırılması ile Sosyal Sigortalar ve Genel Sağlık Sigortası Kanunu ve Diğer Bazı Kanun ve Kanun Hükmünde Kararnamelerde Değişiklik Yapılması Hakkında Kanun hükümlerine göre yapılandırılan,</w:t>
                  </w:r>
                </w:p>
                <w:p w:rsid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p>
                <w:p w:rsid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r w:rsidRPr="008A2084">
                    <w:rPr>
                      <w:rFonts w:ascii="Times New Roman" w:eastAsia="ヒラギノ明朝 Pro W3" w:hAnsi="Times New Roman" w:cs="Times New Roman"/>
                      <w:sz w:val="18"/>
                      <w:szCs w:val="18"/>
                    </w:rPr>
                    <w:lastRenderedPageBreak/>
                    <w:t>d) 6552 sayılı İş Kanunu ile Bazı Kanun ve Kanun Hükmünde Kararnamelerde Değişiklik Yapılması ile Bazı Alacakların Yeniden Yapılandırılmasına Dair Kanun hükümlerine göre yapılandırılan</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A2084">
                    <w:rPr>
                      <w:rFonts w:ascii="Times New Roman" w:eastAsia="ヒラギノ明朝 Pro W3" w:hAnsi="Times New Roman" w:cs="Times New Roman"/>
                      <w:sz w:val="18"/>
                      <w:szCs w:val="18"/>
                    </w:rPr>
                    <w:t>alacakların</w:t>
                  </w:r>
                  <w:proofErr w:type="gramEnd"/>
                  <w:r w:rsidRPr="008A2084">
                    <w:rPr>
                      <w:rFonts w:ascii="Times New Roman" w:eastAsia="ヒラギノ明朝 Pro W3" w:hAnsi="Times New Roman" w:cs="Times New Roman"/>
                      <w:sz w:val="18"/>
                      <w:szCs w:val="18"/>
                    </w:rPr>
                    <w:t xml:space="preserve"> alınmaması,</w:t>
                  </w:r>
                </w:p>
                <w:p w:rsidR="008A2084" w:rsidRPr="008A2084" w:rsidRDefault="008A2084" w:rsidP="008A208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A2084">
                    <w:rPr>
                      <w:rFonts w:ascii="Times New Roman" w:eastAsia="ヒラギノ明朝 Pro W3" w:hAnsi="Times New Roman" w:cs="Times New Roman"/>
                      <w:sz w:val="18"/>
                      <w:szCs w:val="18"/>
                    </w:rPr>
                    <w:t>uygun</w:t>
                  </w:r>
                  <w:proofErr w:type="gramEnd"/>
                  <w:r w:rsidRPr="008A2084">
                    <w:rPr>
                      <w:rFonts w:ascii="Times New Roman" w:eastAsia="ヒラギノ明朝 Pro W3" w:hAnsi="Times New Roman" w:cs="Times New Roman"/>
                      <w:sz w:val="18"/>
                      <w:szCs w:val="18"/>
                    </w:rPr>
                    <w:t xml:space="preserve"> görülmüştür.</w:t>
                  </w:r>
                </w:p>
                <w:p w:rsidR="008A2084" w:rsidRPr="008A2084" w:rsidRDefault="008A2084" w:rsidP="008A2084">
                  <w:pPr>
                    <w:spacing w:after="0" w:line="240" w:lineRule="exact"/>
                    <w:ind w:firstLine="567"/>
                    <w:rPr>
                      <w:rFonts w:ascii="Arial" w:eastAsia="Times New Roman" w:hAnsi="Arial" w:cs="Arial"/>
                      <w:b/>
                      <w:color w:val="000080"/>
                      <w:sz w:val="18"/>
                      <w:szCs w:val="18"/>
                      <w:lang w:eastAsia="tr-TR"/>
                    </w:rPr>
                  </w:pPr>
                  <w:r w:rsidRPr="008A2084">
                    <w:rPr>
                      <w:rFonts w:ascii="Times New Roman" w:eastAsia="Times New Roman" w:hAnsi="Times New Roman" w:cs="Times New Roman"/>
                      <w:sz w:val="18"/>
                      <w:szCs w:val="18"/>
                      <w:lang w:eastAsia="tr-TR"/>
                    </w:rPr>
                    <w:t>Tebliğ olunur.</w:t>
                  </w:r>
                </w:p>
              </w:tc>
            </w:tr>
          </w:tbl>
          <w:p w:rsidR="008A2084" w:rsidRPr="008A2084" w:rsidRDefault="008A2084" w:rsidP="008A2084">
            <w:pPr>
              <w:spacing w:after="0" w:line="240" w:lineRule="auto"/>
              <w:jc w:val="center"/>
              <w:rPr>
                <w:rFonts w:ascii="Times New Roman" w:eastAsia="Times New Roman" w:hAnsi="Times New Roman" w:cs="Times New Roman"/>
                <w:sz w:val="20"/>
                <w:szCs w:val="20"/>
                <w:lang w:eastAsia="tr-TR"/>
              </w:rPr>
            </w:pPr>
          </w:p>
        </w:tc>
      </w:tr>
    </w:tbl>
    <w:p w:rsidR="008A2084" w:rsidRPr="008A2084" w:rsidRDefault="008A2084" w:rsidP="008A2084">
      <w:pPr>
        <w:spacing w:after="0" w:line="240" w:lineRule="auto"/>
        <w:jc w:val="center"/>
        <w:rPr>
          <w:rFonts w:ascii="Times New Roman" w:eastAsia="Times New Roman" w:hAnsi="Times New Roman" w:cs="Times New Roman"/>
          <w:sz w:val="24"/>
          <w:szCs w:val="24"/>
          <w:lang w:eastAsia="tr-TR"/>
        </w:rPr>
      </w:pPr>
    </w:p>
    <w:p w:rsidR="004B1A04" w:rsidRDefault="004B1A04"/>
    <w:sectPr w:rsidR="004B1A04" w:rsidSect="004B1A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2084"/>
    <w:rsid w:val="004B1A04"/>
    <w:rsid w:val="008A20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A20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8A20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8A208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A208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41994997">
      <w:bodyDiv w:val="1"/>
      <w:marLeft w:val="0"/>
      <w:marRight w:val="0"/>
      <w:marTop w:val="0"/>
      <w:marBottom w:val="0"/>
      <w:divBdr>
        <w:top w:val="none" w:sz="0" w:space="0" w:color="auto"/>
        <w:left w:val="none" w:sz="0" w:space="0" w:color="auto"/>
        <w:bottom w:val="none" w:sz="0" w:space="0" w:color="auto"/>
        <w:right w:val="none" w:sz="0" w:space="0" w:color="auto"/>
      </w:divBdr>
      <w:divsChild>
        <w:div w:id="1287421279">
          <w:marLeft w:val="0"/>
          <w:marRight w:val="0"/>
          <w:marTop w:val="0"/>
          <w:marBottom w:val="0"/>
          <w:divBdr>
            <w:top w:val="none" w:sz="0" w:space="0" w:color="auto"/>
            <w:left w:val="none" w:sz="0" w:space="0" w:color="auto"/>
            <w:bottom w:val="none" w:sz="0" w:space="0" w:color="auto"/>
            <w:right w:val="none" w:sz="0" w:space="0" w:color="auto"/>
          </w:divBdr>
          <w:divsChild>
            <w:div w:id="506091024">
              <w:marLeft w:val="0"/>
              <w:marRight w:val="0"/>
              <w:marTop w:val="0"/>
              <w:marBottom w:val="0"/>
              <w:divBdr>
                <w:top w:val="none" w:sz="0" w:space="0" w:color="auto"/>
                <w:left w:val="none" w:sz="0" w:space="0" w:color="auto"/>
                <w:bottom w:val="none" w:sz="0" w:space="0" w:color="auto"/>
                <w:right w:val="none" w:sz="0" w:space="0" w:color="auto"/>
              </w:divBdr>
              <w:divsChild>
                <w:div w:id="10129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2014-09-24T05:49:00Z</dcterms:created>
  <dcterms:modified xsi:type="dcterms:W3CDTF">2014-09-24T05:50:00Z</dcterms:modified>
</cp:coreProperties>
</file>