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CFB" w:rsidRDefault="00493CFB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64485E" w:rsidRPr="0064485E" w:rsidTr="0064485E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3115"/>
              <w:gridCol w:w="3008"/>
              <w:gridCol w:w="2763"/>
            </w:tblGrid>
            <w:tr w:rsidR="0064485E" w:rsidRPr="0064485E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4485E" w:rsidRPr="0064485E" w:rsidRDefault="0064485E" w:rsidP="0064485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64485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1 Ekim </w:t>
                  </w:r>
                  <w:proofErr w:type="gramStart"/>
                  <w:r w:rsidRPr="0064485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ÇARŞAMBA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4485E" w:rsidRPr="0064485E" w:rsidRDefault="0064485E" w:rsidP="0064485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64485E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4485E" w:rsidRPr="0064485E" w:rsidRDefault="0064485E" w:rsidP="0064485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64485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29136</w:t>
                  </w:r>
                  <w:proofErr w:type="gramEnd"/>
                </w:p>
              </w:tc>
            </w:tr>
            <w:tr w:rsidR="0064485E" w:rsidRPr="0064485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64485E" w:rsidRPr="0064485E" w:rsidRDefault="0064485E" w:rsidP="0064485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64485E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64485E" w:rsidRPr="0064485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Sosyal G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venlik Kurumundan:</w:t>
                  </w:r>
                </w:p>
                <w:p w:rsidR="0064485E" w:rsidRPr="0064485E" w:rsidRDefault="0064485E" w:rsidP="0064485E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SOSYAL G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VENL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KURUMU SA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LIK UYGULAMA TEBL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NDE</w:t>
                  </w:r>
                </w:p>
                <w:p w:rsidR="0064485E" w:rsidRPr="0064485E" w:rsidRDefault="0064485E" w:rsidP="0064485E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ĞİŞİ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YAPILMASINA DA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TEBL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MADDE 1 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–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24/3/2013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28597 say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Sosyal G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Kurumu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Uygulama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1.8.4 numaral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ikinci denemede %25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ibaresinden sonra gelmek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“üçü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denemede %20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eklenmi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2.4.1.B-1 numaral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 maddesinde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 yap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Maddenin ikinci 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mlesinde yer alan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belirtilmelidir.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ibaresinden sonra gelmek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ve Di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muayeneleri yap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lamayan hastalarda bu durum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 raporunda belirtilmelidir.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eklenmi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mlesinde yer alan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10 g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10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de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Maddenin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Ba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ta zihinsel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ileti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kurulamayan veya alg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 g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anan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di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tedavileri, 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uyu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 alt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ger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tirilemiyorsa ve genel anestezi veya sedo-analjezi alt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dahale gerekmesi durumunda genel anestezi veya sedo-analjezi bedelinin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denebilmesi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in; tedavinin anesteziyoloji ve reanimasyon uzman hekiminin sorumlulu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unda genel anestezi alt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cerrahi 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dahale uygulanabilen, asgari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 ve ila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bulundu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genel anestezi ile 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dahale birimi olan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hizmeti sunucular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yap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belgelendirilmesi gerekmektedir.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proofErr w:type="gramEnd"/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Maddenin be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inci 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Ortodontik tedavi gereksinimi olan hastalar;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Bakanl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ve di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merkezleri (ADSM),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ve di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hastaneleri,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ve di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ve ara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rma hastaneleri veya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niversitelerin di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hekimli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fak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ltelerince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hekimi taraf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 raporu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zenlenmesi halinde,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hizmeti sunucular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Kurumla 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 olmayan resmi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hizmeti sunucular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di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nitelerine ba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vurabilirler. 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 raporunda yap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tedavinin estetik ama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malokl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zyon tipi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belirtilir.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 raporunun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zenlendi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tarihten itibaren 6 ay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tedaviye ba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gerekmektedir.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2.4.4.F-1 numaral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 maddesi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(1) Fizik tedavi ve </w:t>
                  </w: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rehabilitasyon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uygulamalar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Kurumca bedelinin kar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in;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30 seansa kadar (30 uncu seans dahil) olan fizik tedavi ve </w:t>
                  </w: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rehabilitasyon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uygulamalar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fiziksel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ve rehabilitasyon uzman hekimince,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SUT eki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Fizik Tedavi ve Rehabilitasyon Tan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Listesi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nde (EK-2/D-2) (*)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aretli (b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 kontrol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tabi olmayan) tan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larda 30 seans sonras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devam edilecek tedaviler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in;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1) 31-60 seansa kadar (60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seans dahil) olan fizik tedavi ve </w:t>
                  </w: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rehabilitasyon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uygulamalar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en az bir fiziksel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ve rehabilitasyon uzman hekiminin yer ald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hizmeti sunucusunda yeterli say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fiziksel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ve rehabilitasyon uzman hekimi bulunmas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 bu hekimler taraf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olu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turulacakt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r)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kurumu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kurulunca (ayakta tedavilerde resmi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kurulunca),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2) 60 seans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zeri olan fizik tedavi ve </w:t>
                  </w: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rehabilitasyon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uygulamalar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en az bir fiziksel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ve rehabilitasyon uzman hekiminin yer ald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hizmeti sunucusunda yeterli say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fiziksel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ve rehabilitasyon uzman hekimi bulunmas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 bu hekimler taraf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olu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turulacakt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r)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basamak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kurumu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kurulunca,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raporu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zenlenmesi gerekmektedir.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raporda ayr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hastal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hik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yesi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SUT eki EK-2/D-2 Listesinde A ve B grubunda yer alan hastal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in;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Bakanl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nlanan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Fizik Tedavi ve Rehabilitasyon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lemlerine 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De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erlendirme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ekleri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esas 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mevcut hastal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 ve </w:t>
                  </w: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komplikasyonlar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uygun ayr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muayene ve de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sonu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belirtilecektir. 30 seans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zeri fizik tedavi ve </w:t>
                  </w: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rehabilitasyon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uygulamalar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zenlenecek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 raporunda tedavinin devam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gereklili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dair gerek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eler ayr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belirtilecektir. Raporun sonu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elde edilen de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ve muayene bulgular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uygun olarak, tan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tan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ili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ICD-10 kodlar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hastan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seans fizik tedavi ve </w:t>
                  </w: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rehabilitasyon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uygulamas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ihtiyac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ve uygulanacak b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 yaz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2.4.4.F-2 numaral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 maddesi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(1) Fizik tedavi ve </w:t>
                  </w: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rehabilitasyon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lemlerinin Kuruma faturaland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labilmesi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SUT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2.4.4.F-1 maddesinde tan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raporunun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zenlenmesi gerekmektedir.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Ayakta veya yatarak fizik tedavi ve </w:t>
                  </w: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rehabilitasyon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uygulamalar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hastalarda, hastan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tedaviye girdi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kurumun fiziksel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ve rehabilitasyon uzman hekimi taraf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belirlenecek tedavi ayr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(elektroterapi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uygulamalar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egzersiz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itleri, masaj, manip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lasyon uygulamalar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ortez-protez uygulamalar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itimi, konu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terapisi uygulamalar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-u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terapisi uygulamalar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vb. gibi tedavi uygulamalar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bu tedavilerin 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releri, dozlar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say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uygulanan v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cut b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lgeleri gibi), haz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rlanacak tedavi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izelgesine yaz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fizik tedavi ve rehabilitasyon hekimince ka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elenip imzalanacakt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3713 say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Kanuna g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ayl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maluller, 5434 say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Cumhuriyeti Emekli Sand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Kanununun 56 nc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veya 2330 say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2 nci maddesinin birinci 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(e) ve (f) bentlerinde say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lanlardan 3713 say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 kapsam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giren olaylar sebebiyle ayl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lananlar ile 3713 say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 kapsam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girmese dahi ba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yard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deste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olmaks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amak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gereken hareketleri yapamayacak derecede malul olan vazife ve harp malul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hastalarda SUT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2.4.4.F-1 maddesinde tan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raporlara g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fizik tedavi ve </w:t>
                  </w: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rehabilitasyon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uygulamalar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Kurumca kar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(4) Ayaktan fizik tedavi ve </w:t>
                  </w: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rehabilitasyon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uygulamalar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bir hastaya g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en fazla bir seans, yatarak fizik tedavi ve rehabilitasyon uygulamalar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ise ayn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bir seans fizik tedavi ve rehabilitasyon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 bedeli Kurumca kar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Bir hasta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son bir 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en fazla; ayn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lgeden toplam 30 seans, iki farkl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cut b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lgesinden toplam 60 seans fizik tedavi ve </w:t>
                  </w: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rehabilitasyon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lemlerine ait bedeller Kurumca kar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Ayn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bir 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en fazla iki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raporu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zenlenebilir. B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lge, seans ve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raporu say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kontrollerinde 2.4.4.F-6(2) 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belirtilen b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lge, seans ve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raporu say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 hesaba kat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Ekstremitelerdeki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sol b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lgeler ayr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 olarak de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erlendirilir. Ancak SUT eki EK-2/D-2 Listesinde (*)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aretli tan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larda ve G80 kodlu tan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larda b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 kontrol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lmaz.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SUT eki EK-2/D-2 Listesinde (*)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aretli tan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hari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bir b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en fazla 30 seans fizik tedavi ve </w:t>
                  </w: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rehabilitasyon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lemlerine ait bedeller Kurumca kar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SUT eki EK-2/D-2 Listesinde (*)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aretli tan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larda ise SUT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2.4.4.F-1 maddesinde tan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raporuna istinaden tedavinin ba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 itibariyle bir 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erisinde uygulanan fizik tedavi ve </w:t>
                  </w: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rehabilitasyon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uygulamalar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Kurumca kar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r, devam eden 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llarda; her 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SUT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2.4.4.F-1 maddesinin a bendi ile b bendinin 1 inci alt bendinde belirtilen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raporuna istinaden sadece 0-30 ve 31-60 seans uygulanan fizik tedavi ve rehabilitasyon uygulamalar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Kurumca kar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61 seans sonras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tedaviler ise; SUT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2.4.4.F-1(1)b bendinin 2 numaral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 bendinde belirtilen rapora istinaden 3. Basamak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hizmeti sunucusunca uygulanmas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Kurumca kar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(7) SUT eki EK-2/B Listesindeki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7.5 Fizik Tedavi ve Rehabilitasyon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erlendirmeler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 ba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hari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zere, fizik tedavi ve </w:t>
                  </w: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rehabilitasyon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uygulamalar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raporunun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 tarihinden itibaren 15 (on be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g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tedaviye ba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kayd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SUT eki EK-2/D-2 Listesinde yer alan gruplar dikkate 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nmak suretiyle SUT eki EK-2/C Listesinde yer alan puanlar esas 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bedelleri Kurumca kar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(SUT eki EK-2/A-1 Listesinde E4 kodu ile yer alan hastanelerce, SUT eki EK-2/C Listesinde belirlenen puana %35 ilave edilerek faturaland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r.)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raporunun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 tarihinden itibaren 15 g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tedaviye ba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lanamamas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hastaya yeni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raporu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zenlenecektir. Ancak hastaya sadece SUT eki EK-2/B listesinde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7.5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Fizik Tedavi ve Rehabilitasyon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erlendirmeler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 ba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 yap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tedavi, hizmet ba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ntemi ile faturaland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(8) EK-2/D-2 Listesinde (*)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aretli tan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larda yap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fizik tedavi ve </w:t>
                  </w: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rehabilitasyon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uygulamalar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raporunda belirtilen fizik tedavi ve rehabilitasyon uygulamas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na, tedaviye ba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ktan sonra 5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nden fazla ara verilmesi halinde ara verildikten sonra yeni bir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raporu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zenlenmedik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uygulanan fizik tedavi ve rehabilitasyon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Kurumca kar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lanmaz. Ara verilmeden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uygulanan tedavi, b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 ve seans kontrol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dikkate 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(9) Yatarak fizik tedavi ve </w:t>
                  </w: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rehabilitasyon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uygulamalar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nda; fizik tedavi ve rehabilitasyon uygulamas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hizmetleri (yatak bedeli, tetkik, ila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 gibi), SUT h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uyulmak ko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uluyla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hizmet ba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faturaland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Kurumca kar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(10) Trafik kazas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sonras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gerekli g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len fizik tedavi ve </w:t>
                  </w: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rehabilitasyon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uygulamalar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re, seans ve b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 kontrollerinde, trafik kazas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kili olmayan fizik tedavi ve rehabilitasyon uygulamalar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dikkate 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(11) SUT eki EK-2/D-2 Listesinde G80 kodu ile yer alan tan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larda;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16 ya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(16 ya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dahil) olan hastalarda, 2.4.4.F.1 maddesinde belirtilen raporlara istinaden 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erisinde en fazla 90 seans fizik tedavi ve </w:t>
                  </w: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rehabilitasyon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uygulamalar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Kurumca kar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16 ya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olan hastalarda, 2.4.4.F.1 (1) 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 bendinde belirtilen rapora istinaden 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lda en fazla 30 seans fizik tedavi ve </w:t>
                  </w: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rehabilitasyon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uygulamalar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Kurumca kar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G80 kodu ile yer alan tan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larda mobilitenin korunmas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 da ger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tirilmesi amac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cerrahi giri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veya botulismus toksini uyguland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takdirde fizik tedavi ve </w:t>
                  </w: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rehabilitasyon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uygulamalar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en az bir fiziksel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ve rehabilitasyon uzman hekiminin yer ald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hizmeti sunucusunda yeterli say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fiziksel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ve rehabilitasyon uzman hekimi bulunmas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 bu hekimler taraf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olu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turulacakt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r)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basamak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kurumu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kurulunca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rapora istinaden ilave 30 seans fizik tedavi ve rehabilitasyon uygulamalar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Kurumca kar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2.4.4.I numaral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lastRenderedPageBreak/>
                    <w:t xml:space="preserve">MADDE 6 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2.4.4.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-1 numaral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 maddesinin birinci 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birinci c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mlesinde yer alan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“üç”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de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ayn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maddeye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eklenmi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Harp malull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ayl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almakta olan harp malullerinin kendileri ve bunlar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leri, 2330 say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Nakdi Tazminat ve Ayl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Kanuna veya 2330 say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 h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uygulanarak ayl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gerektiren kanunlara g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malull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ayl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almakta olan vazife malullerinin kendileri ile bunlar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leri, bu Kanunun 47 nci maddesi ile 5434 say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56 nc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ve 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lga 45 inci maddesi kapsam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vazife malul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ayl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almakta olan vazife malullerinden ise ba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yard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deste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olmaks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amak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gereken hareketleri yapamayacak derecede malul olanlar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kendileri ile bunlar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leri, birinci 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ve (d) bendlerinde belirtilen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 aranmaz.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proofErr w:type="gramEnd"/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 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‒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3.1.2 numaral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onyedinci 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(a), (b), (c) bentleri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(e) bendinde yer alan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edilen malzemenin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edilen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malzemenin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olarak de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SUT ve eki listelerinde yer alan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malzemeleri temin etmeleri halinde fatura bedelleri SUT ve eki listelerde belirtilen fiyatlar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mamak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Kurumca kar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SUT ve eki listelerinde yer almayan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malzemelerden, benzer nitelik veya ayn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levsel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zellikte olanlar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SUT ve eki listelerde yer almas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 bu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malzemeler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listelerdeki fiyatlar tavan fiyat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uygulan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SUT ve eki listelerde yer alan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malzemeler ile benzer nitelik veya ayn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levsel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zellikte olmayan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bbi malzeme bedellerinin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demeleri ise, 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malzemenin Kurumca uygun g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lerek bu listelere eklenmesi halinde 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mk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olacakt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 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‒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3.1.3 numaral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maddesinde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 yap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Maddenin birinci 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birinci c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mlesinde yer alan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temin edilen ilgili </w:t>
                  </w: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bran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ibaresinden sonra gelmek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/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gruplar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eklenmi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Maddenin ikinci 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birinci c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mlesi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tan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SUT eki listelerde yer almayan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 bedelleri Kurumca kar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lanmaz.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bent eklenmi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s) Birden Fazla Bran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 Kullan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Malzemeler (EK-3/A),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Maddenin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birinci c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mlesi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“İ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lgili </w:t>
                  </w: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bran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/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grubu listesinde yer almayan, ancak SUT eki di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bran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/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grubu listelerinde bulunan ve ilgili bran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da kullan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 nitelikte olan malzemelerin, SUT eki di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bran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/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grubu listesindeki SUT kodu ve geri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kurallar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uygun olarak, ilgili bran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faturaland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bedelleri Kurumca kar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Maddenin yedinci 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(7) SUT ve eki listelerde yer alan veya yer almayan malzemeler, serbest kodsuz olarak MEDULA hastane uygulamas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girilemez, girilmesi durumunda hi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 ko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ulda bedelleri Kurumca kar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lanmaz. Ancak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smarlama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cihaz kapsam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bulunan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 rezeksiyon </w:t>
                  </w: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protezi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eklindeki nihai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nlerin bedellerinin kar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bu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art ve MEDULA-Hastane sistemi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faturaland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rma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aranmayacak olup manuel faturaland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bedelleri Kurumca kar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 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3.2.1 numaral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maddesinde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 yap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3.2.1.A numaral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 maddesinin birinci 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SUT ve eki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SUT eki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ve ikinci 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SUT eki listelerde yer almayan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malzemelerin fatura edilmesi halinde bedelleri Kurumca kar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lanmaz.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3.2.1.B numaral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 maddesinin birinci 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SUT ve eki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SUT eki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ve ikinci 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SUT eki listelerde yer almayan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malzemelerin fatura edilmesi halinde bedelleri Kurumca kar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lanmaz.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3.2.1.C numaral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 maddesinin birinci 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SUT ve eki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SUT eki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ve ikinci 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SUT eki listelerde yer almayan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malzemelerin fatura edilmesi halinde bedelleri Kurumca kar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lanmaz.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 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3.3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numaral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maddesinde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 yap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) 3.3.1 numaral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ba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beraber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3.3.1 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Yara bak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 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nleri ve Antimikrobiyal 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rt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ler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Yara bak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nlerinin veya antimikrobiyal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 bedelleri,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 raporuna istinaden Kurumca kar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Yara bak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nleri veya antimikrobiyal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zenlenecek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 raporlar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Yatarak tedavide; takip ve tedaviyi yapan uzman hekim ile genel cerrahi, ortopedi ve </w:t>
                  </w: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travmatoloji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plastik, rekonstr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ktif ve estetik cerrahi uzman hekimlerinden en az birinin yer ald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nca,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Ayakta tedavide; resmi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kurum/kurulu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genel cerrahi, ortopedi ve </w:t>
                  </w: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travmatoloji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plastik, rekonstr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ktif ve estetik cerrahi, geriatri uzman hekimlerinden en az birinin yer ald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zenlenecektir. </w:t>
                  </w: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Ancak, imm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nob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ve mekanob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hastal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klar, deri nekrozuyla seyreden vask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litler ve nekrotik enfeksiy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deri hastal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kullan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gerekli g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yara bak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nleri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kurulu raporu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basamak resmi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kurumlar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(e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verme yetkisi olan klinik) deri ve z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hrevi hastal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plastik, rekonstr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ktif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ve estetik cerrahi veya genel cerrahi uzman hekimlerinin yer ald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 taraf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ndan,</w:t>
                  </w:r>
                  <w:proofErr w:type="gramEnd"/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zenlenecektir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Yara bak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nlerinin veya antimikrobiyal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 kullan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dair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zenlenecek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 raporlar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hasta kimlik bilgilerinin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nda;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Etyolojik tan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(diyabetik ayak yaras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vb.),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Yara ve/veya yaralar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anatomik lokalizasyonu,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Yara ve/veya yaralar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ebatlar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Klinik bulgular (eks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dasyon, kavitasyon </w:t>
                  </w: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enfeksiyon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gibi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zellikler ayr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belirtilecektir),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d)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ncesinde medikal ve/veya cerrahi tedavi uygulan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uygulanmad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Tercih edilen yara bak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veya antimikrobiyal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 tercih gerek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esi, tipi, ebatlar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 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bilgilerinin,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almas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zorunludur.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(4) </w:t>
                  </w: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raporunda belirtilen yara bak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antimikrobiyal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bir yara bak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antimikrobiyal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kullan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gerekti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inde, gerek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esi ile birlikte yeniden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 raporu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zenlenecektir.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(5) </w:t>
                  </w: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raporlar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ayakta tedavide 2 ay, yatarak tedavilerde ise yat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resince ge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erlidir. Ancak imm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nob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ve mekanob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hastal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klar, deri nekrozuyla seyreden vask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litler ve nekrotik enfeksiy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deri hastal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 raporlar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ayakta tedavide 6 ay ge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erlidir.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Ayakta tedavide kullan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yara bak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nleri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in,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 raporuna dayan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larak genel cerrahi, ortopedi ve </w:t>
                  </w: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travmatoloji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plastik, rekonstr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ktif ve estetik cerrahi, geriatri veya deri ve z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hrevi hastal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uzman hekimlerinden biri taraf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re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ete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zenlenmesi gerekmektedir. Ancak imm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nob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ve mekanob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hastal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klar, deri nekrozuyla seyreden vask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litler ve nekrotik enfeksiy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deri hastal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kullan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gerekli g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yara bak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nleri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in, resmi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tesislerinde g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yapmakta olan deri ve z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hrevi hastal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plastik, rekonstr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ktif ve estetik cerrahi veya genel cerrahi uzman hekimlerince re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ete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zenlenmesi gerekmektedir.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(7) Tek re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etede en fazla 15 g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miktar yaz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 Ancak imm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nob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ve mekanob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hastal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klar, deri nekrozuyla seyreden vask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litler ve nekrotik enfeksiy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deri hastal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ayakta tedavide tek re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etede en fazla bir ayl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miktar yaz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(8) Re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etenin tekrar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zenlenmesi halinde yara/yaralar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ebatlar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eteyi yazan hekim taraf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 raporunun arkas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yaz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rapor ayn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hekim taraf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imzalanarak ka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elenir.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(9) Ayakta tedavide tedavi edici etkisini sadece hydrocolloid, k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fiber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ermesinden dolay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steren yara bak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nleri ile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nob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ve mekanob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hastal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klar, deri nekrozuyla seyreden vask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litler ve nekrotik enfeksiy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deri hastal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hastal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kullan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gazl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bez ve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itleri, sarg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bezi ve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itleri, petrolatum/parafin emdirilmi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leno bez dokuma, yap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mayan k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ler, yap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mayan film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 ve yap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mayan prokolloidler gruplar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yer alan yara bak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nlerinin bedelleri Kurumca kar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proofErr w:type="gramEnd"/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(10) Yan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tedavisi uygulanan durumlarda, yatan hastalar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kullan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yara bak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grubuna dair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denen malzeme gruplar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ayr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olarak,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Deri 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erlerinin (sentetik/hayvan kaynakl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eklem alanlar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eren veya 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mimi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etkileyen veya %40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3. derece yan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klarda,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basamak resmi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kurumlar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 raporu ile kullan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bedeli Kurumca kar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(11) Yan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hastalar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ayakta tedavilerinde, SUT ve eki listelerde yer alan yara bak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ilgili h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 ge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erlidir.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(12) Ebatlar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100 cm2 ye kadar (100 cm2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hil) olan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nler k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yara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101-225 cm2 aras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(225 cm2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hil) olan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nler orta yara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226 cm2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nin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zerinde olan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nler b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yara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kabul edilir.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3.3.4.A maddesinin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Dermis ve/veya epidermis yerine ge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allogreftlerin bedelleri Kurumca kar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lanmaz.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3.3.9 numaral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bendi 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bent eklenmi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o) 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 yenileme implantlar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ı”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3.3.9 numaral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ikinci 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“üçü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basamak resmi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kurumlar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ibaresinden sonra gelmek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verme yetkisi olan klinik)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eklenmi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(c) bendi 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3.3.14 numaral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ba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beraber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3.3.14 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K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rdak h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 k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lt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rleri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(1) SUT eki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EK-2/B Hizmet Ba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Puan Listesi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612731 veya 612975 SUT kodlar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EK-2/C Tan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Dayal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Puan Listesi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P612731 veya P612975 SUT kodlar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birlikte uygulanmas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basamak resmi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kurumlar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(e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verme yetkisi olan klinik),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Bakanl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Ortopedi Bilimsel Dan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Kurulu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her bir hasta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kullan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onay 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bedelleri Kurumca kar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lanacakt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proofErr w:type="gramEnd"/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3.3.15 numaral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 maddesi 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3.3.16 numaral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(b) bendinde yer alan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durumunda bedeli Kurumca kar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ibaresi 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bent eklenmi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Hiatus ve diyafragma hernilerinin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laparoskopik onar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durumunda bedeli Kurumca kar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g) 3.3.21 numaral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ba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beraber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3.3.21 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Damar kapama ve kesme probu ve Ultrasonik Cerrahi Problar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(1)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basamak resmi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kurumlar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kullan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bedelleri Kurumca kar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3.3.29 numaral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ikinci 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birinci c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mlesi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Kanama durdurmada kullan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malzemelerin v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cut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uygulamalar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nda, acil servislerde veya yatarak tedavilerde, </w:t>
                  </w: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epikrizde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durumlardan en az birinin belirtilmesi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yla en fazla 2 (iki) adet olmak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bedelleri Kurumca kar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h) 3.3.31 numaral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(1) SUT eki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EK-2/B Hizmet Ba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Puan Listesi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612732 veya 612976 SUT kodlar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EK-2/C Tan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Dayal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Puan Listesi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P612732 veya P612976 SUT kodlar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birlikte uygulanmas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basamak resmi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kurumlar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(e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verme yetkisi olan klinik)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ba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en fazla 1 (bir) adet kullan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bedeli Kurumca kar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proofErr w:type="gramEnd"/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11 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4.2.42.B maddesinin birinci 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 bendinin (1) numaral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 bendinde yer alan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fazla 2 uygulama, toplam 6000 IU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ibaresi,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fazla 3 uygulama, toplam 9000 IU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ve (2) numaral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 bendinde yer alan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fazla 2 uygulama, siklus ba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4500 IU ye kadar toplam 9000 IU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fazla 3 uygulama, siklus ba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4500 IU ye kadar toplam 13500 IU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de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  <w:proofErr w:type="gramEnd"/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12 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Hizmet Ba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Puan Listesi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nde EK-2/B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 yap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Listeye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614170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SUT kodlu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lemden sonra gelmek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eklenmi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/>
                  </w:tblPr>
                  <w:tblGrid>
                    <w:gridCol w:w="906"/>
                    <w:gridCol w:w="2830"/>
                    <w:gridCol w:w="3828"/>
                    <w:gridCol w:w="941"/>
                  </w:tblGrid>
                  <w:tr w:rsidR="0064485E" w:rsidRPr="0064485E">
                    <w:trPr>
                      <w:trHeight w:hRule="exact" w:val="597"/>
                      <w:jc w:val="center"/>
                    </w:trPr>
                    <w:tc>
                      <w:tcPr>
                        <w:tcW w:w="9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tabs>
                            <w:tab w:val="left" w:pos="360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614171</w:t>
                        </w:r>
                      </w:p>
                    </w:tc>
                    <w:tc>
                      <w:tcPr>
                        <w:tcW w:w="32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tabs>
                            <w:tab w:val="left" w:pos="360"/>
                          </w:tabs>
                          <w:spacing w:after="0" w:line="-597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Perkütan omurga tümör ablasyon tedavisi</w:t>
                        </w:r>
                      </w:p>
                    </w:tc>
                    <w:tc>
                      <w:tcPr>
                        <w:tcW w:w="4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4485E" w:rsidRPr="0064485E" w:rsidRDefault="0064485E" w:rsidP="0064485E">
                        <w:pPr>
                          <w:tabs>
                            <w:tab w:val="left" w:pos="360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Beyin cerrahisi, Radyoloji veya Ortopedi ve Travmatoloji uzman hekimlerince uygulandığında faturalandırılır.</w:t>
                        </w:r>
                      </w:p>
                      <w:p w:rsidR="0064485E" w:rsidRPr="0064485E" w:rsidRDefault="0064485E" w:rsidP="0064485E">
                        <w:pPr>
                          <w:tabs>
                            <w:tab w:val="left" w:pos="360"/>
                          </w:tabs>
                          <w:spacing w:after="0" w:line="-597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tabs>
                            <w:tab w:val="left" w:pos="360"/>
                          </w:tabs>
                          <w:spacing w:after="0" w:line="-597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845,00</w:t>
                        </w:r>
                      </w:p>
                    </w:tc>
                  </w:tr>
                </w:tbl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Listede yer alan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614180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SUT kodlu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/>
                  </w:tblPr>
                  <w:tblGrid>
                    <w:gridCol w:w="914"/>
                    <w:gridCol w:w="2883"/>
                    <w:gridCol w:w="3758"/>
                    <w:gridCol w:w="950"/>
                  </w:tblGrid>
                  <w:tr w:rsidR="0064485E" w:rsidRPr="0064485E">
                    <w:trPr>
                      <w:trHeight w:val="255"/>
                      <w:jc w:val="center"/>
                    </w:trPr>
                    <w:tc>
                      <w:tcPr>
                        <w:tcW w:w="9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4485E" w:rsidRPr="0064485E" w:rsidRDefault="0064485E" w:rsidP="0064485E">
                        <w:pPr>
                          <w:tabs>
                            <w:tab w:val="left" w:pos="360"/>
                          </w:tabs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614180</w:t>
                        </w:r>
                      </w:p>
                    </w:tc>
                    <w:tc>
                      <w:tcPr>
                        <w:tcW w:w="32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4485E" w:rsidRPr="0064485E" w:rsidRDefault="0064485E" w:rsidP="0064485E">
                        <w:pPr>
                          <w:tabs>
                            <w:tab w:val="left" w:pos="360"/>
                          </w:tabs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Büyük kemik bifokal</w:t>
                        </w:r>
                      </w:p>
                    </w:tc>
                    <w:tc>
                      <w:tcPr>
                        <w:tcW w:w="4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4485E" w:rsidRPr="0064485E" w:rsidRDefault="0064485E" w:rsidP="0064485E">
                        <w:pPr>
                          <w:tabs>
                            <w:tab w:val="left" w:pos="360"/>
                          </w:tabs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tabs>
                            <w:tab w:val="left" w:pos="360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900,34</w:t>
                        </w:r>
                      </w:p>
                    </w:tc>
                  </w:tr>
                </w:tbl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c) Listede yer alan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EKSTERNAL 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KSAT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 KEM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UZATMA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UZATMA/DEFORM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ZELTME CERRAH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de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Listede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ad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klama,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puan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 yap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ile Listeye eklenen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bu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 (1) numaral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listede belirtilmi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d) Listeden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614310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SUT kodlu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Eksternal fiksat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ile ayak deformitesi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zeltilmesi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lemi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13 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Dayal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Puan Listesi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nde EK-2/C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 yap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Listede yer alan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P803190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SUT kodlu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Perk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tan ablasyon tedavisi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leminden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nce gelmek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E-Nonvask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ler giri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imsel radyolojik tedaviler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eklenmi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Listede yer alan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EKSTERNAL 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KSAT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 KEM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UZATMA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UZATMA/DEFORM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ZELTME CERRAH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de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Listede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ad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klama,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puan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 yap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ile Listeye eklenen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bu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 (2) numaral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listede belirtilmi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Listeden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P614310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SUT kodlu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Eksternal fiksat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ile ayak deformitesi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zeltilmesi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lemi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d) Listeden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bu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 (3) numaral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listede belirtilmi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14 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Fizik Tedavi ve Rehabilitasyon Tan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Listesi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EK-2/D-2 bu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 (4) numaral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listede yer ald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yeniden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15 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““İ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ntraoperatif 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romonitorizasyon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leminin Ayr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Faturaland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labilece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Listesi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nde Ek-2/D-4 yer alan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615970, P615970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SUT kodlu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lemin ad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Torakal disk eksizyonu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de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615971, P615971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SUT kodlu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“İ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nterbody 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zyon ameliyat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</w:t>
                  </w: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ekstrem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lateral, direkt lateral)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 eklenmi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16 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KURUMCA BEDEL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ILANMAYAN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TIBB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MALZEMELER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EK-3/B-2 listesinin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Dermis/Epidermis Yerine Ge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Allogreftler/Xenogreftler/Sentetik Greftler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adl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malzemenin ad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Dermis/Epidermis Yerine Ge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Allogreftler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de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17 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‒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Protez Ortezler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EK-3C-3 listesinde yer alan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DO1021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SUT kodlu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tbl>
                  <w:tblPr>
                    <w:tblW w:w="8505" w:type="dxa"/>
                    <w:jc w:val="center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985"/>
                    <w:gridCol w:w="1428"/>
                    <w:gridCol w:w="307"/>
                    <w:gridCol w:w="430"/>
                    <w:gridCol w:w="1299"/>
                    <w:gridCol w:w="1408"/>
                    <w:gridCol w:w="1514"/>
                    <w:gridCol w:w="1134"/>
                  </w:tblGrid>
                  <w:tr w:rsidR="0064485E" w:rsidRPr="0064485E">
                    <w:trPr>
                      <w:trHeight w:val="263"/>
                      <w:jc w:val="center"/>
                    </w:trPr>
                    <w:tc>
                      <w:tcPr>
                        <w:tcW w:w="12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jc w:val="center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SUT KODU</w:t>
                        </w:r>
                      </w:p>
                    </w:tc>
                    <w:tc>
                      <w:tcPr>
                        <w:tcW w:w="168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jc w:val="center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TIBBİ MALZEME ALAN TANIMI</w:t>
                        </w:r>
                      </w:p>
                    </w:tc>
                    <w:tc>
                      <w:tcPr>
                        <w:tcW w:w="30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129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jc w:val="center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YENİLENME</w:t>
                        </w:r>
                        <w:r w:rsidRPr="006448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br/>
                          <w:t>SÜRESİ</w:t>
                        </w:r>
                        <w:r w:rsidRPr="0064485E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4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jc w:val="center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ÖZEL</w:t>
                        </w:r>
                        <w:r w:rsidRPr="006448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br/>
                          <w:t>KOŞULLAR</w:t>
                        </w:r>
                      </w:p>
                    </w:tc>
                    <w:tc>
                      <w:tcPr>
                        <w:tcW w:w="210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jc w:val="center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AKTİVİTE SKORU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jc w:val="center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FİYAT (TL)</w:t>
                        </w:r>
                      </w:p>
                    </w:tc>
                  </w:tr>
                  <w:tr w:rsidR="0064485E" w:rsidRPr="0064485E">
                    <w:trPr>
                      <w:trHeight w:val="272"/>
                      <w:jc w:val="center"/>
                    </w:trPr>
                    <w:tc>
                      <w:tcPr>
                        <w:tcW w:w="12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jc w:val="center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  <w:lang w:eastAsia="tr-TR"/>
                          </w:rPr>
                          <w:t>DO1021</w:t>
                        </w:r>
                      </w:p>
                    </w:tc>
                    <w:tc>
                      <w:tcPr>
                        <w:tcW w:w="168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  <w:lang w:eastAsia="tr-TR"/>
                          </w:rPr>
                          <w:t>GÖZ PROTEZLERİ</w:t>
                        </w:r>
                      </w:p>
                    </w:tc>
                    <w:tc>
                      <w:tcPr>
                        <w:tcW w:w="30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jc w:val="both"/>
                          <w:rPr>
                            <w:rFonts w:ascii="Times New Roman" w:eastAsia="Calibri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  <w:r w:rsidRPr="0064485E">
                          <w:rPr>
                            <w:rFonts w:ascii="Times New Roman" w:eastAsia="Calibri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H</w:t>
                        </w:r>
                      </w:p>
                    </w:tc>
                    <w:tc>
                      <w:tcPr>
                        <w:tcW w:w="129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14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210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jc w:val="both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jc w:val="right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150,00</w:t>
                        </w:r>
                      </w:p>
                    </w:tc>
                  </w:tr>
                </w:tbl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18 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Omurga Cerrahisi Alan Grubuna Ait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Malzemeler Listesi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nde EK-3/E-1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 yap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Listede yer alan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103103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SUT kodlu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malzemenin fiyat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17.000,00 TL (Onyedibin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olarak belirlenmi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Listede yer alan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102720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SUT kodlu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bbi malzemeden sonra gelmek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 eklenmi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tbl>
                  <w:tblPr>
                    <w:tblW w:w="8505" w:type="dxa"/>
                    <w:jc w:val="center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1528"/>
                    <w:gridCol w:w="5855"/>
                    <w:gridCol w:w="1122"/>
                  </w:tblGrid>
                  <w:tr w:rsidR="0064485E" w:rsidRPr="0064485E">
                    <w:trPr>
                      <w:trHeight w:val="284"/>
                      <w:jc w:val="center"/>
                    </w:trPr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jc w:val="center"/>
                          <w:rPr>
                            <w:rFonts w:ascii="Calibri" w:eastAsia="Calibri" w:hAnsi="Calibri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SUT KODU</w:t>
                        </w:r>
                      </w:p>
                    </w:tc>
                    <w:tc>
                      <w:tcPr>
                        <w:tcW w:w="680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jc w:val="center"/>
                          <w:rPr>
                            <w:rFonts w:ascii="Calibri" w:eastAsia="Calibri" w:hAnsi="Calibri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MALZEME ALAN TANIMI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jc w:val="center"/>
                          <w:rPr>
                            <w:rFonts w:ascii="Calibri" w:eastAsia="Calibri" w:hAnsi="Calibri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FİYAT(TL)</w:t>
                        </w:r>
                      </w:p>
                    </w:tc>
                  </w:tr>
                  <w:tr w:rsidR="0064485E" w:rsidRPr="0064485E">
                    <w:trPr>
                      <w:trHeight w:val="328"/>
                      <w:jc w:val="center"/>
                    </w:trPr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64485E" w:rsidRPr="0064485E" w:rsidRDefault="0064485E" w:rsidP="0064485E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103104</w:t>
                        </w:r>
                      </w:p>
                    </w:tc>
                    <w:tc>
                      <w:tcPr>
                        <w:tcW w:w="680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SERVİKAL FÜZYON İMPLANTI (SERVİKAL İNTERBODY KAFES, RİGİD, PEEK, STANDART, SENTETİK GREFTLİ)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961,00</w:t>
                        </w:r>
                      </w:p>
                    </w:tc>
                  </w:tr>
                </w:tbl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c) Listede yer alan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102765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SUT kodlu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bbi malzemeden sonra gelmek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malzemeler eklenmi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668"/>
                    <w:gridCol w:w="5669"/>
                    <w:gridCol w:w="1168"/>
                  </w:tblGrid>
                  <w:tr w:rsidR="0064485E" w:rsidRPr="0064485E">
                    <w:trPr>
                      <w:trHeight w:val="284"/>
                      <w:jc w:val="center"/>
                    </w:trPr>
                    <w:tc>
                      <w:tcPr>
                        <w:tcW w:w="16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jc w:val="center"/>
                          <w:rPr>
                            <w:rFonts w:ascii="Calibri" w:eastAsia="Calibri" w:hAnsi="Calibri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SUT KODU</w:t>
                        </w:r>
                      </w:p>
                    </w:tc>
                    <w:tc>
                      <w:tcPr>
                        <w:tcW w:w="68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jc w:val="center"/>
                          <w:rPr>
                            <w:rFonts w:ascii="Calibri" w:eastAsia="Calibri" w:hAnsi="Calibri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MALZEME ALAN TANIMI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rPr>
                            <w:rFonts w:ascii="Calibri" w:eastAsia="Calibri" w:hAnsi="Calibri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FİYAT(TL)</w:t>
                        </w:r>
                      </w:p>
                    </w:tc>
                  </w:tr>
                  <w:tr w:rsidR="0064485E" w:rsidRPr="0064485E">
                    <w:trPr>
                      <w:trHeight w:val="63"/>
                      <w:jc w:val="center"/>
                    </w:trPr>
                    <w:tc>
                      <w:tcPr>
                        <w:tcW w:w="16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63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103105</w:t>
                        </w:r>
                      </w:p>
                    </w:tc>
                    <w:tc>
                      <w:tcPr>
                        <w:tcW w:w="68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4485E" w:rsidRPr="0064485E" w:rsidRDefault="0064485E" w:rsidP="0064485E">
                        <w:pPr>
                          <w:spacing w:after="0" w:line="63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LOMBER FÜZYON İMPLANTI (LOMBER İNTERBODY KAFES, RİGİD, PEEK, PLIF, SENTETİK GREFTLİ)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:rsidR="0064485E" w:rsidRPr="0064485E" w:rsidRDefault="0064485E" w:rsidP="0064485E">
                        <w:pPr>
                          <w:spacing w:after="0" w:line="6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1.000,00</w:t>
                        </w:r>
                      </w:p>
                    </w:tc>
                  </w:tr>
                  <w:tr w:rsidR="0064485E" w:rsidRPr="0064485E">
                    <w:trPr>
                      <w:trHeight w:val="63"/>
                      <w:jc w:val="center"/>
                    </w:trPr>
                    <w:tc>
                      <w:tcPr>
                        <w:tcW w:w="16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63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103106</w:t>
                        </w:r>
                      </w:p>
                    </w:tc>
                    <w:tc>
                      <w:tcPr>
                        <w:tcW w:w="68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4485E" w:rsidRPr="0064485E" w:rsidRDefault="0064485E" w:rsidP="0064485E">
                        <w:pPr>
                          <w:spacing w:after="0" w:line="63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LOMBER FÜZYON İMPLANTI ( LOMBER İNTERBODY KAFES, RİGİD, </w:t>
                        </w:r>
                        <w:proofErr w:type="gramStart"/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PEEK,TLIF</w:t>
                        </w:r>
                        <w:proofErr w:type="gramEnd"/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,SENTETİK GREFTLİ)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:rsidR="0064485E" w:rsidRPr="0064485E" w:rsidRDefault="0064485E" w:rsidP="0064485E">
                        <w:pPr>
                          <w:spacing w:after="0" w:line="6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1.450,00</w:t>
                        </w:r>
                      </w:p>
                    </w:tc>
                  </w:tr>
                </w:tbl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19 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Ortopedi ve Travmatoloji Bran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Artroskopi ve Eklem Cerrahisi Alan Grubuna Ait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Malzemeler Listesi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EK-3/F-2 fiyat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malzemeler bu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 Liste (5) numaral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listede belirtilmi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20 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 EK-3/J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Kulak Burun Bo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az Bran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Ait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Malzemeler Listesi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 yap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Listede yer alan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KB1009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SUT kodlu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malzemenin fiyat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150,00 TL (Y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olarak belirlenmi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Listede yer alan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 MONTE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İŞİ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TME C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HAZI VE AKSESUARLARI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deme </w:t>
                  </w: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kriterleri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ve/veya kurallar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birinci 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Bilateral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itme kayb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ve her 2 (iki) kulakta da konvansiyonel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itme cihaz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fayda g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rmedi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ayn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resmi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kurumunda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3 (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Kulak Burun Bo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az hastal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uzman hekiminin yer ald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 raporu ile saptanan ve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kriterlere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uyan hastalarda veya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Bakanl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itsel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mplantlar Bilimsel Dan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Komisyonu taraf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kemi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monte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itme cihaz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yerle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tirilmesi uygun g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ki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ilerde uygulanmas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Kurumca bedeli kar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c) Listede yer alan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ORTA KULAK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MPLANTI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deme </w:t>
                  </w: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kriterleri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ve/veya kurallar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birinci 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birinci c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mlesi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Bilateral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itme kayb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ve her 2 (iki) kulakta da konvansiyonel 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itme cihaz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fayda g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rmedi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ayn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resmi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kurumunda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3 (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Kulak Burun Bo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az hastal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uzman hekiminin yer ald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 raporu ile saptanan ve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kriterlere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uyan hastalarda veya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Bakanl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itsel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mplantlar Bilimsel Dan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Komisyonu taraf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orta kulak implant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yerle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tirilmesi uygun g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ki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ilerde uygulanmas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Kurumca bedeli kar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Listede yer alan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SAPI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MPLANTI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deme </w:t>
                  </w: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kriterleri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ve/veya kurallar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birinci 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Koklear implant ekibi taraf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yap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CT ve/veya MRI incelemeleri sonucu; koklea ve/veya akustik sinirin olmad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tam geli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medi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veya hasar g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tespit edilen hastalara beyin sap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implant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 raporu ile veya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Bakanl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itsel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mplantlar Bilimsel Dan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Komisyonu taraf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beyin sap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implant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yerle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tirilmesi uygun g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ki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ilerde uygulanmas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Kurumca bedeli kar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proofErr w:type="gramEnd"/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21 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Hastal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Do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um Bran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Ait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Malzemeler Listesi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nde EK-3/K fiyat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belirlenen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malzemeler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tabloda belirtilmi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tbl>
                  <w:tblPr>
                    <w:tblW w:w="8505" w:type="dxa"/>
                    <w:jc w:val="center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1276"/>
                    <w:gridCol w:w="6095"/>
                    <w:gridCol w:w="1134"/>
                  </w:tblGrid>
                  <w:tr w:rsidR="0064485E" w:rsidRPr="0064485E">
                    <w:trPr>
                      <w:trHeight w:val="284"/>
                      <w:jc w:val="center"/>
                    </w:trPr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SUT KODU</w:t>
                        </w:r>
                      </w:p>
                    </w:tc>
                    <w:tc>
                      <w:tcPr>
                        <w:tcW w:w="722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MALZEME ALAN TANIMI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FİYAT (TL)</w:t>
                        </w:r>
                      </w:p>
                    </w:tc>
                  </w:tr>
                  <w:tr w:rsidR="0064485E" w:rsidRPr="0064485E">
                    <w:trPr>
                      <w:trHeight w:val="284"/>
                      <w:jc w:val="center"/>
                    </w:trPr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lastRenderedPageBreak/>
                          <w:t>KD1002</w:t>
                        </w:r>
                      </w:p>
                    </w:tc>
                    <w:tc>
                      <w:tcPr>
                        <w:tcW w:w="72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MERSİLEN TAPE 65 MM İPLİK 30 CM TAPE 5 MM ½ YUVARLAK BLUNT POINT ÇİFT İĞNELİ SERKLAJ SÜTÜRÜ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69,00</w:t>
                        </w:r>
                      </w:p>
                    </w:tc>
                  </w:tr>
                  <w:tr w:rsidR="0064485E" w:rsidRPr="0064485E">
                    <w:trPr>
                      <w:trHeight w:val="284"/>
                      <w:jc w:val="center"/>
                    </w:trPr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KD1007</w:t>
                        </w:r>
                      </w:p>
                    </w:tc>
                    <w:tc>
                      <w:tcPr>
                        <w:tcW w:w="72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SİLİKON BALON HSG KATETERİ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35,00</w:t>
                        </w:r>
                      </w:p>
                    </w:tc>
                  </w:tr>
                  <w:tr w:rsidR="0064485E" w:rsidRPr="0064485E">
                    <w:trPr>
                      <w:trHeight w:val="284"/>
                      <w:jc w:val="center"/>
                    </w:trPr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KD1017</w:t>
                        </w:r>
                      </w:p>
                    </w:tc>
                    <w:tc>
                      <w:tcPr>
                        <w:tcW w:w="72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 KOLLU MESH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750,00</w:t>
                        </w:r>
                      </w:p>
                    </w:tc>
                  </w:tr>
                </w:tbl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22 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roloji Bran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Ait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Malzemeler Listesi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nde EK-3/L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 yap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Listede fiyatlar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belirlenen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malzemeler bu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 (6) numaral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listede belirtilmi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Listeden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TORBALAR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NER S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STEM SONDALARI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UR1018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UR1019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UR1020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UR1021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UR1022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UR1023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UR1024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UR1025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SUT kodlu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bbi malzemeler ile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ROSTOM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TORBALARI ve MALZEMELER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UR1082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UR1083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UR1084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SUT kodlu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bbi malzemeler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23 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Hematoloji Onkoloji Bran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Ait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Malzemeler Listesi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nde EK-3/O fiyat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belirlenen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malzemeler bu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 (7) numaral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listede belirtilmi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24 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Nefroloji Bran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Ait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Malzemeler Listesi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nde EK-3/P fiyat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belirlenen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malzemeler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tabloda belirtilmi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tbl>
                  <w:tblPr>
                    <w:tblW w:w="8660" w:type="dxa"/>
                    <w:jc w:val="center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1276"/>
                    <w:gridCol w:w="6162"/>
                    <w:gridCol w:w="1222"/>
                  </w:tblGrid>
                  <w:tr w:rsidR="0064485E" w:rsidRPr="0064485E">
                    <w:trPr>
                      <w:trHeight w:val="284"/>
                      <w:jc w:val="center"/>
                    </w:trPr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SUT KODU</w:t>
                        </w:r>
                      </w:p>
                    </w:tc>
                    <w:tc>
                      <w:tcPr>
                        <w:tcW w:w="616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MALZEME ALAN TANIMI</w:t>
                        </w:r>
                      </w:p>
                    </w:tc>
                    <w:tc>
                      <w:tcPr>
                        <w:tcW w:w="122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FİYAT (TL)</w:t>
                        </w:r>
                      </w:p>
                    </w:tc>
                  </w:tr>
                  <w:tr w:rsidR="0064485E" w:rsidRPr="0064485E">
                    <w:trPr>
                      <w:trHeight w:val="284"/>
                      <w:jc w:val="center"/>
                    </w:trPr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NF1015</w:t>
                        </w:r>
                      </w:p>
                    </w:tc>
                    <w:tc>
                      <w:tcPr>
                        <w:tcW w:w="6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HEMODİYAFİLTRASYON ARTER-VEN SETİ</w:t>
                        </w:r>
                      </w:p>
                    </w:tc>
                    <w:tc>
                      <w:tcPr>
                        <w:tcW w:w="122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10,00</w:t>
                        </w:r>
                      </w:p>
                    </w:tc>
                  </w:tr>
                  <w:tr w:rsidR="0064485E" w:rsidRPr="0064485E">
                    <w:trPr>
                      <w:trHeight w:val="284"/>
                      <w:jc w:val="center"/>
                    </w:trPr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NF1020</w:t>
                        </w:r>
                      </w:p>
                    </w:tc>
                    <w:tc>
                      <w:tcPr>
                        <w:tcW w:w="6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HEMOFİLTRE, HİGH FLUX</w:t>
                        </w:r>
                      </w:p>
                    </w:tc>
                    <w:tc>
                      <w:tcPr>
                        <w:tcW w:w="122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165,00</w:t>
                        </w:r>
                      </w:p>
                    </w:tc>
                  </w:tr>
                  <w:tr w:rsidR="0064485E" w:rsidRPr="0064485E">
                    <w:trPr>
                      <w:trHeight w:val="284"/>
                      <w:jc w:val="center"/>
                    </w:trPr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NF1030</w:t>
                        </w:r>
                      </w:p>
                    </w:tc>
                    <w:tc>
                      <w:tcPr>
                        <w:tcW w:w="6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PD-PEAD PERİTON DİYALİZ BAĞLANTI SETİ (BEBEK İÇİN)</w:t>
                        </w:r>
                      </w:p>
                    </w:tc>
                    <w:tc>
                      <w:tcPr>
                        <w:tcW w:w="122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20,00</w:t>
                        </w:r>
                      </w:p>
                    </w:tc>
                  </w:tr>
                  <w:tr w:rsidR="0064485E" w:rsidRPr="0064485E">
                    <w:trPr>
                      <w:trHeight w:val="284"/>
                      <w:jc w:val="center"/>
                    </w:trPr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NF1031</w:t>
                        </w:r>
                      </w:p>
                    </w:tc>
                    <w:tc>
                      <w:tcPr>
                        <w:tcW w:w="616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ALETLİ PERİTON DİYALİZİ SETİ (BEBEK İÇİN)</w:t>
                        </w:r>
                      </w:p>
                    </w:tc>
                    <w:tc>
                      <w:tcPr>
                        <w:tcW w:w="122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20,00</w:t>
                        </w:r>
                      </w:p>
                    </w:tc>
                  </w:tr>
                </w:tbl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25 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Anesteziyoloji, Reanimasyon ve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Tedavisi Bran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Ait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Malzemeler Listesi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nde EK-3/T fiyat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belirlenen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malzemeler 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tabloda belirtilmi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tbl>
                  <w:tblPr>
                    <w:tblW w:w="8591" w:type="dxa"/>
                    <w:jc w:val="center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760"/>
                    <w:gridCol w:w="6571"/>
                    <w:gridCol w:w="1260"/>
                  </w:tblGrid>
                  <w:tr w:rsidR="0064485E" w:rsidRPr="0064485E">
                    <w:trPr>
                      <w:trHeight w:val="284"/>
                      <w:jc w:val="center"/>
                    </w:trPr>
                    <w:tc>
                      <w:tcPr>
                        <w:tcW w:w="7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SUT KODU</w:t>
                        </w:r>
                      </w:p>
                    </w:tc>
                    <w:tc>
                      <w:tcPr>
                        <w:tcW w:w="657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TIBBİ MALZEME ALAN TANIMI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FİYAT (TL)</w:t>
                        </w:r>
                      </w:p>
                    </w:tc>
                  </w:tr>
                  <w:tr w:rsidR="0064485E" w:rsidRPr="0064485E">
                    <w:trPr>
                      <w:trHeight w:val="284"/>
                      <w:jc w:val="center"/>
                    </w:trPr>
                    <w:tc>
                      <w:tcPr>
                        <w:tcW w:w="7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AN1200</w:t>
                        </w:r>
                      </w:p>
                    </w:tc>
                    <w:tc>
                      <w:tcPr>
                        <w:tcW w:w="65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SÜREKLİ SANTRAL VENÖZ OKSİJEN SATÜRASYONU ÖLÇÜMÜ İÇİN SANTRAL KATETER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200,00</w:t>
                        </w:r>
                      </w:p>
                    </w:tc>
                  </w:tr>
                  <w:tr w:rsidR="0064485E" w:rsidRPr="0064485E">
                    <w:trPr>
                      <w:trHeight w:val="284"/>
                      <w:jc w:val="center"/>
                    </w:trPr>
                    <w:tc>
                      <w:tcPr>
                        <w:tcW w:w="7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AN1220</w:t>
                        </w:r>
                      </w:p>
                    </w:tc>
                    <w:tc>
                      <w:tcPr>
                        <w:tcW w:w="657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SÜREKLİ KARDİYAK DEBİ ÖLÇÜMÜ SİSTEMLERİ İÇİN KATETER VE ÖLÇÜM SETİ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400,00</w:t>
                        </w:r>
                      </w:p>
                    </w:tc>
                  </w:tr>
                  <w:tr w:rsidR="0064485E" w:rsidRPr="0064485E">
                    <w:trPr>
                      <w:trHeight w:val="284"/>
                      <w:jc w:val="center"/>
                    </w:trPr>
                    <w:tc>
                      <w:tcPr>
                        <w:tcW w:w="7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AN1270</w:t>
                        </w:r>
                      </w:p>
                    </w:tc>
                    <w:tc>
                      <w:tcPr>
                        <w:tcW w:w="65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DİSPOSABLE EKSTERNAL SOĞUTMA PEDLERİ (YENİDOĞAN)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64485E" w:rsidRPr="0064485E" w:rsidRDefault="0064485E" w:rsidP="0064485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64485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1.100,00</w:t>
                        </w:r>
                      </w:p>
                    </w:tc>
                  </w:tr>
                </w:tbl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26 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in;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Birden Fazla Bran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 Kullan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Malzemeler Listesi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EK-3/A bu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 Liste (8)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yer ald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yeniden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Eksternal Alt ve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 Ekstremite/G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vde Protez Ortezler Listesi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EK-3/C-2 bu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 Liste (9)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yer ald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yeniden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c)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Hallerde Kar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lanan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Malzemeler Listesi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EK-3/C-5 bu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 Liste (10)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yer ald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yeniden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Beyin Cerrahisi Bran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Kranial Cerrahisi Alan Grubuna Ait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Malzemeler Listesi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EK-3/E-2 bu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 Liste (11)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yer ald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yeniden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d)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Ortopedi ve Travmatoloji Bran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Travma ve Rekonstr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ksiyon Alan Grubuna Ait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Malzemeler Listesi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EK-3/F-4 bu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 Liste (12)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yer ald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yeniden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e)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Sa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Hastal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Bran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Ait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Malzemeler Listesi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EK-3/G bu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 Liste (13)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yer ald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yeniden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f)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Kardiyoloji Bran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Ait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Malzemeler Listesi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EK-3/H bu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 Liste (14)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yer ald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yeniden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g)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Kalp Damar Cerrahisi Bran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Ait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Malzemeler Listesi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EK-3/I bu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 Liste (15)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yer ald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yeniden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Radyoloji Bran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Endovask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ler/Nonvask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 Giri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imsel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lemlere Ait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Malzemeler Listesi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EK-3/M bu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 Liste (16)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yer ald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yeniden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h)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Gastroenteroloji Bran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Ait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Malzemeler Listesi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EK-3/R bu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 Liste (17)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yer ald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yeniden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öğü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 Hastal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G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öğü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 Cerrahisi Bran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Ait 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Malzemeler Listesi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EK-3/S bu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 Liste (18)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yer ald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yeniden d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lastRenderedPageBreak/>
                    <w:t xml:space="preserve">MADDE 27 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in;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12 nci maddenin (a) ile (b) bendi ve 13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maddenin (a) ile (d) bendi </w:t>
                  </w: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30/8/2014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ge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erli olmak 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yay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tarihinde,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7 ila10 uncu maddeleri ve 16 ila 26 nc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maddeleri </w:t>
                  </w: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1/10/2014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tarihinde,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Di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maddeleri yay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tarihinde,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proofErr w:type="gramEnd"/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girer.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28 </w:t>
                  </w:r>
                  <w:r w:rsidRPr="0064485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Tebli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Sosyal G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Kurumu Ba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4485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64485E" w:rsidRPr="0064485E" w:rsidRDefault="0064485E" w:rsidP="0064485E">
                  <w:pPr>
                    <w:tabs>
                      <w:tab w:val="left" w:pos="566"/>
                    </w:tabs>
                    <w:spacing w:after="0" w:line="240" w:lineRule="exact"/>
                    <w:ind w:hanging="5"/>
                    <w:jc w:val="both"/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</w:pPr>
                  <w:hyperlink r:id="rId4" w:history="1">
                    <w:r w:rsidRPr="0064485E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Tebli</w:t>
                    </w:r>
                    <w:r w:rsidRPr="0064485E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ğ</w:t>
                    </w:r>
                    <w:r w:rsidRPr="0064485E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in Ekleri</w:t>
                    </w:r>
                  </w:hyperlink>
                </w:p>
                <w:p w:rsidR="0064485E" w:rsidRPr="0064485E" w:rsidRDefault="0064485E" w:rsidP="0064485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64485E" w:rsidRPr="0064485E" w:rsidRDefault="0064485E" w:rsidP="0064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64485E" w:rsidRPr="0064485E" w:rsidRDefault="0064485E" w:rsidP="00644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4485E" w:rsidRDefault="0064485E"/>
    <w:sectPr w:rsidR="0064485E" w:rsidSect="00493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64485E"/>
    <w:rsid w:val="00493CFB"/>
    <w:rsid w:val="00644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C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64485E"/>
    <w:rPr>
      <w:color w:val="0000FF"/>
      <w:u w:val="single"/>
    </w:rPr>
  </w:style>
  <w:style w:type="paragraph" w:styleId="NormalWeb">
    <w:name w:val="Normal (Web)"/>
    <w:basedOn w:val="Normal"/>
    <w:rsid w:val="00644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64485E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64485E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4485E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0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4/10/20141001-7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4876</Words>
  <Characters>27795</Characters>
  <Application>Microsoft Office Word</Application>
  <DocSecurity>0</DocSecurity>
  <Lines>231</Lines>
  <Paragraphs>65</Paragraphs>
  <ScaleCrop>false</ScaleCrop>
  <Company/>
  <LinksUpToDate>false</LinksUpToDate>
  <CharactersWithSpaces>32606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2014-10-01T05:58:00Z</dcterms:created>
  <dcterms:modified xsi:type="dcterms:W3CDTF">2014-10-01T05:58:00Z</dcterms:modified>
</cp:coreProperties>
</file>