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80"/>
      </w:tblGrid>
      <w:tr w:rsidR="005E6C8F" w:rsidRPr="005E6C8F" w:rsidTr="005E6C8F">
        <w:trPr>
          <w:jc w:val="center"/>
        </w:trPr>
        <w:tc>
          <w:tcPr>
            <w:tcW w:w="9104" w:type="dxa"/>
            <w:hideMark/>
          </w:tcPr>
          <w:tbl>
            <w:tblPr>
              <w:tblW w:w="8789" w:type="dxa"/>
              <w:jc w:val="center"/>
              <w:tblLook w:val="01E0"/>
            </w:tblPr>
            <w:tblGrid>
              <w:gridCol w:w="3197"/>
              <w:gridCol w:w="3006"/>
              <w:gridCol w:w="2761"/>
            </w:tblGrid>
            <w:tr w:rsidR="005E6C8F" w:rsidRPr="005E6C8F">
              <w:trPr>
                <w:trHeight w:val="317"/>
                <w:jc w:val="center"/>
              </w:trPr>
              <w:tc>
                <w:tcPr>
                  <w:tcW w:w="2931" w:type="dxa"/>
                  <w:tcBorders>
                    <w:top w:val="nil"/>
                    <w:left w:val="nil"/>
                    <w:bottom w:val="single" w:sz="4" w:space="0" w:color="660066"/>
                    <w:right w:val="nil"/>
                  </w:tcBorders>
                  <w:vAlign w:val="center"/>
                  <w:hideMark/>
                </w:tcPr>
                <w:p w:rsidR="005E6C8F" w:rsidRPr="005E6C8F" w:rsidRDefault="005E6C8F" w:rsidP="005E6C8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E6C8F">
                    <w:rPr>
                      <w:rFonts w:ascii="Arial" w:eastAsia="Times New Roman" w:hAnsi="Arial" w:cs="Arial"/>
                      <w:sz w:val="16"/>
                      <w:szCs w:val="16"/>
                      <w:lang w:eastAsia="tr-TR"/>
                    </w:rPr>
                    <w:t xml:space="preserve">18 Ekim </w:t>
                  </w:r>
                  <w:proofErr w:type="gramStart"/>
                  <w:r w:rsidRPr="005E6C8F">
                    <w:rPr>
                      <w:rFonts w:ascii="Arial" w:eastAsia="Times New Roman" w:hAnsi="Arial" w:cs="Arial"/>
                      <w:sz w:val="16"/>
                      <w:szCs w:val="16"/>
                      <w:lang w:eastAsia="tr-TR"/>
                    </w:rPr>
                    <w:t>2014  CUMARTESİ</w:t>
                  </w:r>
                  <w:proofErr w:type="gramEnd"/>
                </w:p>
              </w:tc>
              <w:tc>
                <w:tcPr>
                  <w:tcW w:w="2931" w:type="dxa"/>
                  <w:tcBorders>
                    <w:top w:val="nil"/>
                    <w:left w:val="nil"/>
                    <w:bottom w:val="single" w:sz="4" w:space="0" w:color="660066"/>
                    <w:right w:val="nil"/>
                  </w:tcBorders>
                  <w:vAlign w:val="center"/>
                  <w:hideMark/>
                </w:tcPr>
                <w:p w:rsidR="005E6C8F" w:rsidRPr="005E6C8F" w:rsidRDefault="005E6C8F" w:rsidP="005E6C8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E6C8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E6C8F" w:rsidRPr="005E6C8F" w:rsidRDefault="005E6C8F" w:rsidP="005E6C8F">
                  <w:pPr>
                    <w:spacing w:before="100" w:beforeAutospacing="1" w:after="100" w:afterAutospacing="1" w:line="240" w:lineRule="auto"/>
                    <w:jc w:val="right"/>
                    <w:rPr>
                      <w:rFonts w:ascii="Arial" w:eastAsia="Times New Roman" w:hAnsi="Arial" w:cs="Arial"/>
                      <w:sz w:val="16"/>
                      <w:szCs w:val="16"/>
                      <w:lang w:eastAsia="tr-TR"/>
                    </w:rPr>
                  </w:pPr>
                  <w:proofErr w:type="gramStart"/>
                  <w:r w:rsidRPr="005E6C8F">
                    <w:rPr>
                      <w:rFonts w:ascii="Arial" w:eastAsia="Times New Roman" w:hAnsi="Arial" w:cs="Arial"/>
                      <w:sz w:val="16"/>
                      <w:szCs w:val="16"/>
                      <w:lang w:eastAsia="tr-TR"/>
                    </w:rPr>
                    <w:t>Sayı : 29149</w:t>
                  </w:r>
                  <w:proofErr w:type="gramEnd"/>
                </w:p>
              </w:tc>
            </w:tr>
            <w:tr w:rsidR="005E6C8F" w:rsidRPr="005E6C8F">
              <w:trPr>
                <w:trHeight w:val="480"/>
                <w:jc w:val="center"/>
              </w:trPr>
              <w:tc>
                <w:tcPr>
                  <w:tcW w:w="8789" w:type="dxa"/>
                  <w:gridSpan w:val="3"/>
                  <w:vAlign w:val="center"/>
                  <w:hideMark/>
                </w:tcPr>
                <w:p w:rsidR="005E6C8F" w:rsidRPr="005E6C8F" w:rsidRDefault="005E6C8F" w:rsidP="005E6C8F">
                  <w:pPr>
                    <w:spacing w:before="100" w:beforeAutospacing="1" w:after="100" w:afterAutospacing="1" w:line="240" w:lineRule="auto"/>
                    <w:jc w:val="center"/>
                    <w:rPr>
                      <w:rFonts w:ascii="Arial" w:eastAsia="Times New Roman" w:hAnsi="Arial" w:cs="Arial"/>
                      <w:b/>
                      <w:color w:val="000080"/>
                      <w:sz w:val="18"/>
                      <w:szCs w:val="18"/>
                      <w:lang w:eastAsia="tr-TR"/>
                    </w:rPr>
                  </w:pPr>
                  <w:r w:rsidRPr="005E6C8F">
                    <w:rPr>
                      <w:rFonts w:ascii="Arial" w:eastAsia="Times New Roman" w:hAnsi="Arial" w:cs="Arial"/>
                      <w:b/>
                      <w:color w:val="000080"/>
                      <w:sz w:val="18"/>
                      <w:szCs w:val="18"/>
                      <w:lang w:eastAsia="tr-TR"/>
                    </w:rPr>
                    <w:t>TEBLİĞ</w:t>
                  </w:r>
                </w:p>
              </w:tc>
            </w:tr>
            <w:tr w:rsidR="005E6C8F" w:rsidRPr="005E6C8F">
              <w:trPr>
                <w:trHeight w:val="480"/>
                <w:jc w:val="center"/>
              </w:trPr>
              <w:tc>
                <w:tcPr>
                  <w:tcW w:w="8789" w:type="dxa"/>
                  <w:gridSpan w:val="3"/>
                  <w:vAlign w:val="center"/>
                </w:tcPr>
                <w:p w:rsidR="005E6C8F" w:rsidRPr="005E6C8F" w:rsidRDefault="005E6C8F" w:rsidP="005E6C8F">
                  <w:pPr>
                    <w:tabs>
                      <w:tab w:val="left" w:pos="566"/>
                    </w:tabs>
                    <w:spacing w:after="0" w:line="240" w:lineRule="exact"/>
                    <w:ind w:firstLine="566"/>
                    <w:rPr>
                      <w:rFonts w:ascii="Times New Roman" w:eastAsia="ヒラギノ明朝 Pro W3" w:hAnsi="Times New Roman" w:cs="Times New Roman"/>
                      <w:sz w:val="18"/>
                      <w:szCs w:val="18"/>
                      <w:u w:val="single"/>
                    </w:rPr>
                  </w:pPr>
                  <w:r w:rsidRPr="005E6C8F">
                    <w:rPr>
                      <w:rFonts w:ascii="Times New Roman" w:eastAsia="ヒラギノ明朝 Pro W3" w:hAnsi="Times New Roman" w:cs="Times New Roman"/>
                      <w:sz w:val="18"/>
                      <w:szCs w:val="18"/>
                      <w:u w:val="single"/>
                    </w:rPr>
                    <w:t>Başbakanlık (Hazine Müsteşarlığı)’tan:</w:t>
                  </w:r>
                </w:p>
                <w:p w:rsidR="005E6C8F" w:rsidRPr="005E6C8F" w:rsidRDefault="005E6C8F" w:rsidP="005E6C8F">
                  <w:pPr>
                    <w:spacing w:after="0" w:line="240" w:lineRule="exact"/>
                    <w:jc w:val="center"/>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DENİZ ARAÇLARI ZORUNLU MALİ SORUMLULUK SİGORTASI</w:t>
                  </w:r>
                </w:p>
                <w:p w:rsidR="005E6C8F" w:rsidRPr="005E6C8F" w:rsidRDefault="005E6C8F" w:rsidP="005E6C8F">
                  <w:pPr>
                    <w:spacing w:after="0" w:line="240" w:lineRule="exact"/>
                    <w:jc w:val="center"/>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TARİFE VE TALİMAT TEBLİĞİ</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Amaç ve kapsam</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MADDE 1 –</w:t>
                  </w:r>
                  <w:r w:rsidRPr="005E6C8F">
                    <w:rPr>
                      <w:rFonts w:ascii="Times New Roman" w:eastAsia="ヒラギノ明朝 Pro W3" w:hAnsi="Times New Roman" w:cs="Times New Roman"/>
                      <w:sz w:val="18"/>
                      <w:szCs w:val="18"/>
                    </w:rPr>
                    <w:t xml:space="preserve"> (1) Bu Tebliğin amacı, deniz araçları için işletmecilerinin veya donatanlarının yaptırmak zorunda oldukları mali sorumluluk sigortasına ilişkin tarife ve talimatı belirlemektir.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sz w:val="18"/>
                      <w:szCs w:val="18"/>
                    </w:rPr>
                    <w:t xml:space="preserve">(2) Bu tarife ve talimat, </w:t>
                  </w:r>
                  <w:proofErr w:type="gramStart"/>
                  <w:r w:rsidRPr="005E6C8F">
                    <w:rPr>
                      <w:rFonts w:ascii="Times New Roman" w:eastAsia="ヒラギノ明朝 Pro W3" w:hAnsi="Times New Roman" w:cs="Times New Roman"/>
                      <w:sz w:val="18"/>
                      <w:szCs w:val="18"/>
                    </w:rPr>
                    <w:t>13/1/2011</w:t>
                  </w:r>
                  <w:proofErr w:type="gramEnd"/>
                  <w:r w:rsidRPr="005E6C8F">
                    <w:rPr>
                      <w:rFonts w:ascii="Times New Roman" w:eastAsia="ヒラギノ明朝 Pro W3" w:hAnsi="Times New Roman" w:cs="Times New Roman"/>
                      <w:sz w:val="18"/>
                      <w:szCs w:val="18"/>
                    </w:rPr>
                    <w:t xml:space="preserve"> tarihli ve 6102 sayılı Türk Ticaret Kanununun 1259 uncu maddesi, 25/11/2010 tarihli ve 27766 sayılı Resmî Gazete’de yayımlanan Deniz Yolu ile Yapılacak Düzenli Seferlere Dair Yönetmeliğin 12 </w:t>
                  </w:r>
                  <w:proofErr w:type="spellStart"/>
                  <w:r w:rsidRPr="005E6C8F">
                    <w:rPr>
                      <w:rFonts w:ascii="Times New Roman" w:eastAsia="ヒラギノ明朝 Pro W3" w:hAnsi="Times New Roman" w:cs="Times New Roman"/>
                      <w:sz w:val="18"/>
                      <w:szCs w:val="18"/>
                    </w:rPr>
                    <w:t>nci</w:t>
                  </w:r>
                  <w:proofErr w:type="spellEnd"/>
                  <w:r w:rsidRPr="005E6C8F">
                    <w:rPr>
                      <w:rFonts w:ascii="Times New Roman" w:eastAsia="ヒラギノ明朝 Pro W3" w:hAnsi="Times New Roman" w:cs="Times New Roman"/>
                      <w:sz w:val="18"/>
                      <w:szCs w:val="18"/>
                    </w:rPr>
                    <w:t xml:space="preserve"> maddesi ve 14/11/2010 tarihli ve 27759 sayılı Resmî Gazete’de yayımlanan Deniz Alacaklarına İlişkin Gemilerin Sigortalandırılması ve Denetlenmesi Hakkında Yönetmeliğin 5 inci maddesi çerçevesinde, ticari amaçlı yolcu taşıyan tüm deniz araçları için uygulanır.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sz w:val="18"/>
                      <w:szCs w:val="18"/>
                    </w:rPr>
                    <w:t xml:space="preserve">(3) </w:t>
                  </w:r>
                  <w:proofErr w:type="gramStart"/>
                  <w:r w:rsidRPr="005E6C8F">
                    <w:rPr>
                      <w:rFonts w:ascii="Times New Roman" w:eastAsia="ヒラギノ明朝 Pro W3" w:hAnsi="Times New Roman" w:cs="Times New Roman"/>
                      <w:sz w:val="18"/>
                      <w:szCs w:val="18"/>
                    </w:rPr>
                    <w:t>29/6/2009</w:t>
                  </w:r>
                  <w:proofErr w:type="gramEnd"/>
                  <w:r w:rsidRPr="005E6C8F">
                    <w:rPr>
                      <w:rFonts w:ascii="Times New Roman" w:eastAsia="ヒラギノ明朝 Pro W3" w:hAnsi="Times New Roman" w:cs="Times New Roman"/>
                      <w:sz w:val="18"/>
                      <w:szCs w:val="18"/>
                    </w:rPr>
                    <w:t xml:space="preserve"> tarihli ve 2009/15212 sayılı Bakanlar Kurulu Kararı ile yürürlüğe konulan Deniz Turizmi Yönetmeliğinin 51 inci maddesi uyarınca istenen sigortalar bu Tebliğ hükümlerine tabi değildir.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Dayanak</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 xml:space="preserve">MADDE 2 – </w:t>
                  </w:r>
                  <w:r w:rsidRPr="005E6C8F">
                    <w:rPr>
                      <w:rFonts w:ascii="Times New Roman" w:eastAsia="ヒラギノ明朝 Pro W3" w:hAnsi="Times New Roman" w:cs="Times New Roman"/>
                      <w:sz w:val="18"/>
                      <w:szCs w:val="18"/>
                    </w:rPr>
                    <w:t xml:space="preserve">(1) Bu Tebliğ, </w:t>
                  </w:r>
                  <w:proofErr w:type="gramStart"/>
                  <w:r w:rsidRPr="005E6C8F">
                    <w:rPr>
                      <w:rFonts w:ascii="Times New Roman" w:eastAsia="ヒラギノ明朝 Pro W3" w:hAnsi="Times New Roman" w:cs="Times New Roman"/>
                      <w:sz w:val="18"/>
                      <w:szCs w:val="18"/>
                    </w:rPr>
                    <w:t>3/6/2007</w:t>
                  </w:r>
                  <w:proofErr w:type="gramEnd"/>
                  <w:r w:rsidRPr="005E6C8F">
                    <w:rPr>
                      <w:rFonts w:ascii="Times New Roman" w:eastAsia="ヒラギノ明朝 Pro W3" w:hAnsi="Times New Roman" w:cs="Times New Roman"/>
                      <w:sz w:val="18"/>
                      <w:szCs w:val="18"/>
                    </w:rPr>
                    <w:t xml:space="preserve"> tarihli ve 5684 sayılı Sigortacılık Kanununun 12 </w:t>
                  </w:r>
                  <w:proofErr w:type="spellStart"/>
                  <w:r w:rsidRPr="005E6C8F">
                    <w:rPr>
                      <w:rFonts w:ascii="Times New Roman" w:eastAsia="ヒラギノ明朝 Pro W3" w:hAnsi="Times New Roman" w:cs="Times New Roman"/>
                      <w:sz w:val="18"/>
                      <w:szCs w:val="18"/>
                    </w:rPr>
                    <w:t>nci</w:t>
                  </w:r>
                  <w:proofErr w:type="spellEnd"/>
                  <w:r w:rsidRPr="005E6C8F">
                    <w:rPr>
                      <w:rFonts w:ascii="Times New Roman" w:eastAsia="ヒラギノ明朝 Pro W3" w:hAnsi="Times New Roman" w:cs="Times New Roman"/>
                      <w:sz w:val="18"/>
                      <w:szCs w:val="18"/>
                    </w:rPr>
                    <w:t xml:space="preserve"> maddesi ile Deniz Yolu ile Yapılacak Düzenli Seferlere Dair Yönetmeliğin 12 </w:t>
                  </w:r>
                  <w:proofErr w:type="spellStart"/>
                  <w:r w:rsidRPr="005E6C8F">
                    <w:rPr>
                      <w:rFonts w:ascii="Times New Roman" w:eastAsia="ヒラギノ明朝 Pro W3" w:hAnsi="Times New Roman" w:cs="Times New Roman"/>
                      <w:sz w:val="18"/>
                      <w:szCs w:val="18"/>
                    </w:rPr>
                    <w:t>nci</w:t>
                  </w:r>
                  <w:proofErr w:type="spellEnd"/>
                  <w:r w:rsidRPr="005E6C8F">
                    <w:rPr>
                      <w:rFonts w:ascii="Times New Roman" w:eastAsia="ヒラギノ明朝 Pro W3" w:hAnsi="Times New Roman" w:cs="Times New Roman"/>
                      <w:sz w:val="18"/>
                      <w:szCs w:val="18"/>
                    </w:rPr>
                    <w:t xml:space="preserve"> maddesine dayanılarak hazırlanmıştır.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Teminat tutarları</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 xml:space="preserve">MADDE 3 – </w:t>
                  </w:r>
                  <w:r w:rsidRPr="005E6C8F">
                    <w:rPr>
                      <w:rFonts w:ascii="Times New Roman" w:eastAsia="ヒラギノ明朝 Pro W3" w:hAnsi="Times New Roman" w:cs="Times New Roman"/>
                      <w:sz w:val="18"/>
                      <w:szCs w:val="18"/>
                    </w:rPr>
                    <w:t>(1) Yolcuların gemi kazası sonucu ölmesi veya yaralanması ya da eşyalarının hasara uğraması durumlarına ilişkin asgari teminat tutarları aşağıdaki tabloda belirlenmiştir.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sz w:val="18"/>
                      <w:szCs w:val="18"/>
                    </w:rPr>
                    <w:t>(2) Aşağıda belirtilen kaza başına maddi teminat tutarı ile ölüm, sakatlık ve tedavi giderleri teminat tutarları, hem yolcu hem de üçüncü şahıslara verilen zararlar için uygulanır.</w:t>
                  </w:r>
                </w:p>
                <w:p w:rsidR="005E6C8F" w:rsidRPr="005E6C8F" w:rsidRDefault="005E6C8F" w:rsidP="005E6C8F">
                  <w:pPr>
                    <w:tabs>
                      <w:tab w:val="left" w:pos="566"/>
                    </w:tabs>
                    <w:spacing w:after="0" w:line="240" w:lineRule="exact"/>
                    <w:jc w:val="center"/>
                    <w:rPr>
                      <w:rFonts w:ascii="Times New Roman" w:eastAsia="ヒラギノ明朝 Pro W3" w:hAnsi="Times New Roman" w:cs="Times New Roman"/>
                      <w:sz w:val="18"/>
                      <w:szCs w:val="18"/>
                    </w:rPr>
                  </w:pPr>
                </w:p>
                <w:tbl>
                  <w:tblPr>
                    <w:tblW w:w="88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3"/>
                    <w:gridCol w:w="1322"/>
                    <w:gridCol w:w="1251"/>
                    <w:gridCol w:w="1559"/>
                    <w:gridCol w:w="1287"/>
                    <w:gridCol w:w="1559"/>
                  </w:tblGrid>
                  <w:tr w:rsidR="005E6C8F" w:rsidRPr="005E6C8F">
                    <w:trPr>
                      <w:trHeight w:val="338"/>
                      <w:jc w:val="center"/>
                    </w:trPr>
                    <w:tc>
                      <w:tcPr>
                        <w:tcW w:w="8891" w:type="dxa"/>
                        <w:gridSpan w:val="6"/>
                        <w:tcBorders>
                          <w:top w:val="single" w:sz="4" w:space="0" w:color="auto"/>
                          <w:left w:val="single" w:sz="4" w:space="0" w:color="auto"/>
                          <w:bottom w:val="single" w:sz="4" w:space="0" w:color="auto"/>
                          <w:right w:val="single" w:sz="4" w:space="0" w:color="auto"/>
                        </w:tcBorders>
                        <w:hideMark/>
                      </w:tcPr>
                      <w:p w:rsidR="005E6C8F" w:rsidRPr="005E6C8F" w:rsidRDefault="005E6C8F" w:rsidP="005E6C8F">
                        <w:pPr>
                          <w:spacing w:after="0" w:line="240" w:lineRule="exact"/>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Asgari Teminatlar (¹)(²)</w:t>
                        </w:r>
                      </w:p>
                    </w:tc>
                  </w:tr>
                  <w:tr w:rsidR="005E6C8F" w:rsidRPr="005E6C8F">
                    <w:trPr>
                      <w:trHeight w:val="601"/>
                      <w:jc w:val="center"/>
                    </w:trPr>
                    <w:tc>
                      <w:tcPr>
                        <w:tcW w:w="1913" w:type="dxa"/>
                        <w:tcBorders>
                          <w:top w:val="single" w:sz="4" w:space="0" w:color="auto"/>
                          <w:left w:val="single" w:sz="4" w:space="0" w:color="auto"/>
                          <w:bottom w:val="single" w:sz="4" w:space="0" w:color="auto"/>
                          <w:right w:val="single" w:sz="4" w:space="0" w:color="auto"/>
                        </w:tcBorders>
                      </w:tcPr>
                      <w:p w:rsidR="005E6C8F" w:rsidRPr="005E6C8F" w:rsidRDefault="005E6C8F" w:rsidP="005E6C8F">
                        <w:pPr>
                          <w:spacing w:after="0" w:line="240" w:lineRule="exact"/>
                          <w:jc w:val="both"/>
                          <w:rPr>
                            <w:rFonts w:ascii="Times New Roman" w:eastAsia="Times New Roman" w:hAnsi="Times New Roman" w:cs="Times New Roman"/>
                            <w:sz w:val="18"/>
                            <w:szCs w:val="18"/>
                            <w:lang w:eastAsia="tr-TR"/>
                          </w:rPr>
                        </w:pPr>
                      </w:p>
                    </w:tc>
                    <w:tc>
                      <w:tcPr>
                        <w:tcW w:w="4132" w:type="dxa"/>
                        <w:gridSpan w:val="3"/>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numPr>
                            <w:ilvl w:val="0"/>
                            <w:numId w:val="1"/>
                          </w:numPr>
                          <w:spacing w:before="100" w:beforeAutospacing="1" w:after="100" w:afterAutospacing="1" w:line="240" w:lineRule="exact"/>
                          <w:ind w:left="0"/>
                          <w:contextualSpacing/>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Maddi Teminat</w:t>
                        </w:r>
                      </w:p>
                    </w:tc>
                    <w:tc>
                      <w:tcPr>
                        <w:tcW w:w="2846" w:type="dxa"/>
                        <w:gridSpan w:val="2"/>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numPr>
                            <w:ilvl w:val="0"/>
                            <w:numId w:val="1"/>
                          </w:numPr>
                          <w:spacing w:before="100" w:beforeAutospacing="1" w:after="100" w:afterAutospacing="1" w:line="240" w:lineRule="exact"/>
                          <w:ind w:left="318" w:hanging="318"/>
                          <w:contextualSpacing/>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Ölüm, Sakatlık ve Tedavi</w:t>
                        </w:r>
                      </w:p>
                      <w:p w:rsidR="005E6C8F" w:rsidRPr="005E6C8F" w:rsidRDefault="005E6C8F" w:rsidP="005E6C8F">
                        <w:pPr>
                          <w:spacing w:before="100" w:beforeAutospacing="1" w:after="100" w:afterAutospacing="1" w:line="240" w:lineRule="exact"/>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Giderleri Teminatı</w:t>
                        </w:r>
                      </w:p>
                    </w:tc>
                  </w:tr>
                  <w:tr w:rsidR="005E6C8F" w:rsidRPr="005E6C8F">
                    <w:trPr>
                      <w:trHeight w:val="817"/>
                      <w:jc w:val="center"/>
                    </w:trPr>
                    <w:tc>
                      <w:tcPr>
                        <w:tcW w:w="1913" w:type="dxa"/>
                        <w:tcBorders>
                          <w:top w:val="single" w:sz="4" w:space="0" w:color="auto"/>
                          <w:left w:val="single" w:sz="4" w:space="0" w:color="auto"/>
                          <w:bottom w:val="single" w:sz="4" w:space="0" w:color="auto"/>
                          <w:right w:val="single" w:sz="4" w:space="0" w:color="auto"/>
                        </w:tcBorders>
                      </w:tcPr>
                      <w:p w:rsidR="005E6C8F" w:rsidRPr="005E6C8F" w:rsidRDefault="005E6C8F" w:rsidP="005E6C8F">
                        <w:pPr>
                          <w:spacing w:after="0" w:line="240" w:lineRule="exact"/>
                          <w:jc w:val="both"/>
                          <w:rPr>
                            <w:rFonts w:ascii="Times New Roman" w:eastAsia="Times New Roman" w:hAnsi="Times New Roman" w:cs="Times New Roman"/>
                            <w:sz w:val="18"/>
                            <w:szCs w:val="18"/>
                            <w:lang w:eastAsia="tr-TR"/>
                          </w:rPr>
                        </w:pPr>
                      </w:p>
                    </w:tc>
                    <w:tc>
                      <w:tcPr>
                        <w:tcW w:w="1322"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Bagaj Başına</w:t>
                        </w:r>
                      </w:p>
                    </w:tc>
                    <w:tc>
                      <w:tcPr>
                        <w:tcW w:w="1251"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Araç Başına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ind w:right="-108"/>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Kaza Başına (³)</w:t>
                        </w:r>
                      </w:p>
                    </w:tc>
                    <w:tc>
                      <w:tcPr>
                        <w:tcW w:w="1287"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Kişi Başına</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b/>
                            <w:sz w:val="18"/>
                            <w:szCs w:val="18"/>
                            <w:lang w:eastAsia="tr-TR"/>
                          </w:rPr>
                        </w:pPr>
                        <w:r w:rsidRPr="005E6C8F">
                          <w:rPr>
                            <w:rFonts w:ascii="Times New Roman" w:eastAsia="Times New Roman" w:hAnsi="Times New Roman" w:cs="Times New Roman"/>
                            <w:b/>
                            <w:sz w:val="18"/>
                            <w:szCs w:val="18"/>
                            <w:lang w:eastAsia="tr-TR"/>
                          </w:rPr>
                          <w:t>Kaza Başına</w:t>
                        </w:r>
                      </w:p>
                    </w:tc>
                  </w:tr>
                  <w:tr w:rsidR="005E6C8F" w:rsidRPr="005E6C8F">
                    <w:trPr>
                      <w:trHeight w:val="1077"/>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a) Yolcu sayısı 12’den fazla olan deniz araçları</w:t>
                        </w:r>
                      </w:p>
                    </w:tc>
                    <w:tc>
                      <w:tcPr>
                        <w:tcW w:w="1322"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2.250 SDR</w:t>
                        </w:r>
                      </w:p>
                    </w:tc>
                    <w:tc>
                      <w:tcPr>
                        <w:tcW w:w="1251"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ind w:right="-49" w:hanging="108"/>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12.700 SDR</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Yolcu/Araç Kapasitesi</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X</w:t>
                        </w:r>
                      </w:p>
                      <w:p w:rsidR="005E6C8F" w:rsidRPr="005E6C8F" w:rsidRDefault="005E6C8F" w:rsidP="005E6C8F">
                        <w:pPr>
                          <w:spacing w:after="0" w:line="240" w:lineRule="exact"/>
                          <w:ind w:right="-109" w:hanging="108"/>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2.250/12.700 SDR</w:t>
                        </w:r>
                      </w:p>
                    </w:tc>
                    <w:tc>
                      <w:tcPr>
                        <w:tcW w:w="1287"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250.000 SDR</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Yolcu Kapasitesi</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X</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250.000 SDR</w:t>
                        </w:r>
                      </w:p>
                    </w:tc>
                  </w:tr>
                  <w:tr w:rsidR="005E6C8F" w:rsidRPr="005E6C8F">
                    <w:trPr>
                      <w:trHeight w:val="961"/>
                      <w:jc w:val="center"/>
                    </w:trPr>
                    <w:tc>
                      <w:tcPr>
                        <w:tcW w:w="1913"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 xml:space="preserve">b) Yolcu sayısı 12 veya </w:t>
                        </w:r>
                        <w:proofErr w:type="gramStart"/>
                        <w:r w:rsidRPr="005E6C8F">
                          <w:rPr>
                            <w:rFonts w:ascii="Times New Roman" w:eastAsia="Times New Roman" w:hAnsi="Times New Roman" w:cs="Times New Roman"/>
                            <w:sz w:val="18"/>
                            <w:szCs w:val="18"/>
                            <w:lang w:eastAsia="tr-TR"/>
                          </w:rPr>
                          <w:t>12’den  az</w:t>
                        </w:r>
                        <w:proofErr w:type="gramEnd"/>
                        <w:r w:rsidRPr="005E6C8F">
                          <w:rPr>
                            <w:rFonts w:ascii="Times New Roman" w:eastAsia="Times New Roman" w:hAnsi="Times New Roman" w:cs="Times New Roman"/>
                            <w:sz w:val="18"/>
                            <w:szCs w:val="18"/>
                            <w:lang w:eastAsia="tr-TR"/>
                          </w:rPr>
                          <w:t xml:space="preserve"> olan deniz araçları</w:t>
                        </w:r>
                      </w:p>
                    </w:tc>
                    <w:tc>
                      <w:tcPr>
                        <w:tcW w:w="1322" w:type="dxa"/>
                        <w:tcBorders>
                          <w:top w:val="single" w:sz="4" w:space="0" w:color="auto"/>
                          <w:left w:val="single" w:sz="4" w:space="0" w:color="auto"/>
                          <w:bottom w:val="single" w:sz="4" w:space="0" w:color="auto"/>
                          <w:right w:val="single" w:sz="4" w:space="0" w:color="auto"/>
                        </w:tcBorders>
                        <w:vAlign w:val="center"/>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p>
                    </w:tc>
                    <w:tc>
                      <w:tcPr>
                        <w:tcW w:w="1251" w:type="dxa"/>
                        <w:tcBorders>
                          <w:top w:val="single" w:sz="4" w:space="0" w:color="auto"/>
                          <w:left w:val="single" w:sz="4" w:space="0" w:color="auto"/>
                          <w:bottom w:val="single" w:sz="4" w:space="0" w:color="auto"/>
                          <w:right w:val="single" w:sz="4" w:space="0" w:color="auto"/>
                        </w:tcBorders>
                        <w:vAlign w:val="center"/>
                      </w:tcPr>
                      <w:p w:rsidR="005E6C8F" w:rsidRPr="005E6C8F" w:rsidRDefault="005E6C8F" w:rsidP="005E6C8F">
                        <w:pPr>
                          <w:spacing w:after="0" w:line="240" w:lineRule="exact"/>
                          <w:ind w:right="-49" w:hanging="108"/>
                          <w:jc w:val="center"/>
                          <w:rPr>
                            <w:rFonts w:ascii="Times New Roman" w:eastAsia="Times New Roman" w:hAnsi="Times New Roman" w:cs="Times New Roman"/>
                            <w:sz w:val="18"/>
                            <w:szCs w:val="18"/>
                            <w:lang w:eastAsia="tr-TR"/>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Yolcu Kapasitesi</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X</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2.500 TL</w:t>
                        </w:r>
                      </w:p>
                    </w:tc>
                    <w:tc>
                      <w:tcPr>
                        <w:tcW w:w="1287"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250.000 TL</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Yolcu Kapasitesi</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X</w:t>
                        </w:r>
                      </w:p>
                      <w:p w:rsidR="005E6C8F" w:rsidRPr="005E6C8F" w:rsidRDefault="005E6C8F" w:rsidP="005E6C8F">
                        <w:pPr>
                          <w:spacing w:after="0" w:line="240" w:lineRule="exact"/>
                          <w:jc w:val="center"/>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250.000 TL</w:t>
                        </w:r>
                      </w:p>
                    </w:tc>
                  </w:tr>
                </w:tbl>
                <w:p w:rsidR="005E6C8F" w:rsidRPr="005E6C8F" w:rsidRDefault="005E6C8F" w:rsidP="005E6C8F">
                  <w:pPr>
                    <w:spacing w:after="0" w:line="240" w:lineRule="exact"/>
                    <w:jc w:val="both"/>
                    <w:rPr>
                      <w:rFonts w:ascii="Times New Roman" w:eastAsia="Times New Roman" w:hAnsi="Times New Roman" w:cs="Times New Roman"/>
                      <w:sz w:val="12"/>
                      <w:szCs w:val="12"/>
                      <w:lang w:eastAsia="tr-TR"/>
                    </w:rPr>
                  </w:pPr>
                </w:p>
                <w:p w:rsidR="005E6C8F" w:rsidRPr="005E6C8F" w:rsidRDefault="005E6C8F" w:rsidP="005E6C8F">
                  <w:pPr>
                    <w:spacing w:after="0" w:line="240" w:lineRule="exact"/>
                    <w:jc w:val="both"/>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(¹)</w:t>
                  </w:r>
                  <w:r w:rsidRPr="005E6C8F">
                    <w:rPr>
                      <w:rFonts w:ascii="Times New Roman" w:eastAsia="Times New Roman" w:hAnsi="Times New Roman" w:cs="Times New Roman"/>
                      <w:b/>
                      <w:sz w:val="18"/>
                      <w:szCs w:val="18"/>
                      <w:lang w:eastAsia="tr-TR"/>
                    </w:rPr>
                    <w:t xml:space="preserve"> </w:t>
                  </w:r>
                  <w:r w:rsidRPr="005E6C8F">
                    <w:rPr>
                      <w:rFonts w:ascii="Times New Roman" w:eastAsia="Times New Roman" w:hAnsi="Times New Roman" w:cs="Times New Roman"/>
                      <w:sz w:val="18"/>
                      <w:szCs w:val="18"/>
                      <w:lang w:eastAsia="tr-TR"/>
                    </w:rPr>
                    <w:t>SDR: Uluslararası Para fonu (IMF) tarafından 1969 yılında meydana getirilmiş uluslararası bir rezerv birimi olan Özel Çekme Hakkı anlamına gelmektedir.</w:t>
                  </w:r>
                </w:p>
                <w:p w:rsidR="005E6C8F" w:rsidRPr="005E6C8F" w:rsidRDefault="005E6C8F" w:rsidP="005E6C8F">
                  <w:pPr>
                    <w:spacing w:after="0" w:line="240" w:lineRule="exact"/>
                    <w:jc w:val="both"/>
                    <w:rPr>
                      <w:rFonts w:ascii="Times New Roman" w:eastAsia="Times New Roman" w:hAnsi="Times New Roman" w:cs="Times New Roman"/>
                      <w:sz w:val="18"/>
                      <w:szCs w:val="18"/>
                      <w:lang w:eastAsia="tr-TR"/>
                    </w:rPr>
                  </w:pPr>
                  <w:r w:rsidRPr="005E6C8F">
                    <w:rPr>
                      <w:rFonts w:ascii="Times New Roman" w:eastAsia="Times New Roman" w:hAnsi="Times New Roman" w:cs="Times New Roman"/>
                      <w:sz w:val="18"/>
                      <w:szCs w:val="18"/>
                      <w:lang w:eastAsia="tr-TR"/>
                    </w:rPr>
                    <w:t xml:space="preserve">(²) Yolcu Kapasitesi: Deniz aracının ruhsatında belirtilen yolcu kapasitesi anlamına gelmektedir. İlgili ruhsatta yaz ve kış için farklı yolcu sayıları belirtilmiş ise, bunlardan büyük olan dikkate alınır. </w:t>
                  </w:r>
                </w:p>
                <w:p w:rsidR="005E6C8F" w:rsidRPr="005E6C8F" w:rsidRDefault="005E6C8F" w:rsidP="005E6C8F">
                  <w:pPr>
                    <w:spacing w:after="0" w:line="240" w:lineRule="exact"/>
                    <w:jc w:val="both"/>
                    <w:rPr>
                      <w:rFonts w:ascii="Times New Roman" w:eastAsia="Times New Roman" w:hAnsi="Times New Roman" w:cs="Times New Roman"/>
                      <w:b/>
                      <w:sz w:val="24"/>
                      <w:szCs w:val="24"/>
                      <w:lang w:eastAsia="tr-TR"/>
                    </w:rPr>
                  </w:pPr>
                  <w:r w:rsidRPr="005E6C8F">
                    <w:rPr>
                      <w:rFonts w:ascii="Times New Roman" w:eastAsia="Times New Roman" w:hAnsi="Times New Roman" w:cs="Times New Roman"/>
                      <w:sz w:val="18"/>
                      <w:szCs w:val="18"/>
                      <w:lang w:eastAsia="tr-TR"/>
                    </w:rPr>
                    <w:t>(³)</w:t>
                  </w:r>
                  <w:r w:rsidRPr="005E6C8F">
                    <w:rPr>
                      <w:rFonts w:ascii="Times New Roman" w:eastAsia="Times New Roman" w:hAnsi="Times New Roman" w:cs="Times New Roman"/>
                      <w:b/>
                      <w:sz w:val="18"/>
                      <w:szCs w:val="18"/>
                      <w:lang w:eastAsia="tr-TR"/>
                    </w:rPr>
                    <w:t xml:space="preserve"> </w:t>
                  </w:r>
                  <w:r w:rsidRPr="005E6C8F">
                    <w:rPr>
                      <w:rFonts w:ascii="Times New Roman" w:eastAsia="Times New Roman" w:hAnsi="Times New Roman" w:cs="Times New Roman"/>
                      <w:sz w:val="18"/>
                      <w:szCs w:val="18"/>
                      <w:lang w:eastAsia="tr-TR"/>
                    </w:rPr>
                    <w:t>Poliçe düzenlenirken teminat tutarlarının hesaplanmasında, yolcu taşıyan gemiler için yolcu kapasitesi, araç taşıyan gemiler için araç kapasitesi, hem araç hem yolcu taşıyan gemiler için ise teminat tutarı yüksek olan dikkate alınır.</w:t>
                  </w:r>
                  <w:r w:rsidRPr="005E6C8F">
                    <w:rPr>
                      <w:rFonts w:ascii="Times New Roman" w:eastAsia="Times New Roman" w:hAnsi="Times New Roman" w:cs="Times New Roman"/>
                      <w:b/>
                      <w:sz w:val="18"/>
                      <w:szCs w:val="18"/>
                      <w:lang w:eastAsia="tr-TR"/>
                    </w:rPr>
                    <w:t xml:space="preserve">  </w:t>
                  </w:r>
                </w:p>
                <w:p w:rsidR="005E6C8F" w:rsidRPr="005E6C8F" w:rsidRDefault="005E6C8F" w:rsidP="005E6C8F">
                  <w:pPr>
                    <w:tabs>
                      <w:tab w:val="left" w:pos="566"/>
                    </w:tabs>
                    <w:spacing w:after="0" w:line="240" w:lineRule="exact"/>
                    <w:jc w:val="center"/>
                    <w:rPr>
                      <w:rFonts w:ascii="Times New Roman" w:eastAsia="ヒラギノ明朝 Pro W3" w:hAnsi="Times New Roman" w:cs="Times New Roman"/>
                      <w:sz w:val="18"/>
                      <w:szCs w:val="18"/>
                    </w:rPr>
                  </w:pP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Maddi teminat limiti ve muafiyet</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 xml:space="preserve">MADDE 4 – </w:t>
                  </w:r>
                  <w:r w:rsidRPr="005E6C8F">
                    <w:rPr>
                      <w:rFonts w:ascii="Times New Roman" w:eastAsia="ヒラギノ明朝 Pro W3" w:hAnsi="Times New Roman" w:cs="Times New Roman"/>
                      <w:sz w:val="18"/>
                      <w:szCs w:val="18"/>
                    </w:rPr>
                    <w:t>(1) Yolcu sayısı 12’den fazla olan deniz araçlarında, maddi teminatın azami limitinde Türk Ticaret Kanununun 1263 üncü maddesinde belirtilen limitler dikkate alınır.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sz w:val="18"/>
                      <w:szCs w:val="18"/>
                    </w:rPr>
                    <w:t>(2) Maddi teminatlar için teminatın yüzde onunu geçmemek üzere sigortacı ile sigorta ettiren arasında serbestçe belirlenen bir muafiyet konulabilir.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Primlerin belirlenmesi</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 xml:space="preserve">MADDE 5 – </w:t>
                  </w:r>
                  <w:r w:rsidRPr="005E6C8F">
                    <w:rPr>
                      <w:rFonts w:ascii="Times New Roman" w:eastAsia="ヒラギノ明朝 Pro W3" w:hAnsi="Times New Roman" w:cs="Times New Roman"/>
                      <w:sz w:val="18"/>
                      <w:szCs w:val="18"/>
                    </w:rPr>
                    <w:t xml:space="preserve">(1) Sigorta primleri, bu Tebliğ hükümleri dikkate alınarak Türkiye’de su araçları sorumluluk </w:t>
                  </w:r>
                  <w:proofErr w:type="gramStart"/>
                  <w:r w:rsidRPr="005E6C8F">
                    <w:rPr>
                      <w:rFonts w:ascii="Times New Roman" w:eastAsia="ヒラギノ明朝 Pro W3" w:hAnsi="Times New Roman" w:cs="Times New Roman"/>
                      <w:sz w:val="18"/>
                      <w:szCs w:val="18"/>
                    </w:rPr>
                    <w:t>branşında</w:t>
                  </w:r>
                  <w:proofErr w:type="gramEnd"/>
                  <w:r w:rsidRPr="005E6C8F">
                    <w:rPr>
                      <w:rFonts w:ascii="Times New Roman" w:eastAsia="ヒラギノ明朝 Pro W3" w:hAnsi="Times New Roman" w:cs="Times New Roman"/>
                      <w:sz w:val="18"/>
                      <w:szCs w:val="18"/>
                    </w:rPr>
                    <w:t xml:space="preserve"> ruhsatı olan sigorta şirketlerince serbestçe belirlenir.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lastRenderedPageBreak/>
                    <w:t>Geçerli sigorta sözleşmeleri</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MADDE 6 –</w:t>
                  </w:r>
                  <w:r w:rsidRPr="005E6C8F">
                    <w:rPr>
                      <w:rFonts w:ascii="Times New Roman" w:eastAsia="ヒラギノ明朝 Pro W3" w:hAnsi="Times New Roman" w:cs="Times New Roman"/>
                      <w:sz w:val="18"/>
                      <w:szCs w:val="18"/>
                    </w:rPr>
                    <w:t xml:space="preserve"> (1) Türkiye’de faaliyet gösteren sigorta şirketlerince düzenlenen poliçeler geçerli kabul edilir. </w:t>
                  </w:r>
                  <w:proofErr w:type="gramStart"/>
                  <w:r w:rsidRPr="005E6C8F">
                    <w:rPr>
                      <w:rFonts w:ascii="Times New Roman" w:eastAsia="ヒラギノ明朝 Pro W3" w:hAnsi="Times New Roman" w:cs="Times New Roman"/>
                      <w:sz w:val="18"/>
                      <w:szCs w:val="18"/>
                    </w:rPr>
                    <w:t>Yabancı bir kulüp veya sigortacı tarafından düzenlenen poliçelerin geçerli kabul edilebilmesi için; Bayrak Devleti Uygulamaları Kapsamındaki İdari İşlemlerde Muteber Kabul Edilebilecek P&amp;I Kulüpleri ve Sigorta Şirketlerine Dair Yönerge kapsamında Ulaştırma, Denizcilik ve Haberleşme Bakanlığınca ilan edilmiş “Muteber P&amp;I Kulüpleri ve Sigorta Şirketleri Listesi”nde bulunan kulüpler veya sigortacılar tarafından düzenlenmesi ve bu Tebliğdeki limitlere uygun olması gerekir.</w:t>
                  </w:r>
                  <w:proofErr w:type="gramEnd"/>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Yürürlükten kaldırılan tebliğ</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MADDE 7 –</w:t>
                  </w:r>
                  <w:r w:rsidRPr="005E6C8F">
                    <w:rPr>
                      <w:rFonts w:ascii="Times New Roman" w:eastAsia="ヒラギノ明朝 Pro W3" w:hAnsi="Times New Roman" w:cs="Times New Roman"/>
                      <w:sz w:val="18"/>
                      <w:szCs w:val="18"/>
                    </w:rPr>
                    <w:t xml:space="preserve"> (1) </w:t>
                  </w:r>
                  <w:proofErr w:type="gramStart"/>
                  <w:r w:rsidRPr="005E6C8F">
                    <w:rPr>
                      <w:rFonts w:ascii="Times New Roman" w:eastAsia="ヒラギノ明朝 Pro W3" w:hAnsi="Times New Roman" w:cs="Times New Roman"/>
                      <w:sz w:val="18"/>
                      <w:szCs w:val="18"/>
                    </w:rPr>
                    <w:t>19/7/2014</w:t>
                  </w:r>
                  <w:proofErr w:type="gramEnd"/>
                  <w:r w:rsidRPr="005E6C8F">
                    <w:rPr>
                      <w:rFonts w:ascii="Times New Roman" w:eastAsia="ヒラギノ明朝 Pro W3" w:hAnsi="Times New Roman" w:cs="Times New Roman"/>
                      <w:sz w:val="18"/>
                      <w:szCs w:val="18"/>
                    </w:rPr>
                    <w:t xml:space="preserve"> tarihli ve 29065 sayılı Resmî Gazete’de yayımlanan Deniz Araçları Zorunlu Mali Sorumluluk Sigortası Tarife ve Talimat Tebliği yürürlükten kaldırılmıştır.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Yürürlük</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MADDE 8 –</w:t>
                  </w:r>
                  <w:r w:rsidRPr="005E6C8F">
                    <w:rPr>
                      <w:rFonts w:ascii="Times New Roman" w:eastAsia="ヒラギノ明朝 Pro W3" w:hAnsi="Times New Roman" w:cs="Times New Roman"/>
                      <w:sz w:val="18"/>
                      <w:szCs w:val="18"/>
                    </w:rPr>
                    <w:t xml:space="preserve"> (1) Bu Tebliğ, yolcu sayısı 12’den fazla olan deniz araçları için yayımı tarihinde; yolcu sayısı 12 veya 12’den az olan deniz araçları için 30 Mart 2015 tarihinde yürürlüğe girer.</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b/>
                      <w:sz w:val="18"/>
                      <w:szCs w:val="18"/>
                    </w:rPr>
                  </w:pPr>
                  <w:r w:rsidRPr="005E6C8F">
                    <w:rPr>
                      <w:rFonts w:ascii="Times New Roman" w:eastAsia="ヒラギノ明朝 Pro W3" w:hAnsi="Times New Roman" w:cs="Times New Roman"/>
                      <w:b/>
                      <w:sz w:val="18"/>
                      <w:szCs w:val="18"/>
                    </w:rPr>
                    <w:t>Yürütme</w:t>
                  </w:r>
                </w:p>
                <w:p w:rsidR="005E6C8F" w:rsidRPr="005E6C8F" w:rsidRDefault="005E6C8F" w:rsidP="005E6C8F">
                  <w:pPr>
                    <w:tabs>
                      <w:tab w:val="left" w:pos="566"/>
                    </w:tabs>
                    <w:spacing w:after="0" w:line="240" w:lineRule="exact"/>
                    <w:ind w:firstLine="566"/>
                    <w:jc w:val="both"/>
                    <w:rPr>
                      <w:rFonts w:ascii="Times New Roman" w:eastAsia="ヒラギノ明朝 Pro W3" w:hAnsi="Times New Roman" w:cs="Times New Roman"/>
                      <w:sz w:val="18"/>
                      <w:szCs w:val="18"/>
                    </w:rPr>
                  </w:pPr>
                  <w:r w:rsidRPr="005E6C8F">
                    <w:rPr>
                      <w:rFonts w:ascii="Times New Roman" w:eastAsia="ヒラギノ明朝 Pro W3" w:hAnsi="Times New Roman" w:cs="Times New Roman"/>
                      <w:b/>
                      <w:sz w:val="18"/>
                      <w:szCs w:val="18"/>
                    </w:rPr>
                    <w:t>MADDE 9 –</w:t>
                  </w:r>
                  <w:r w:rsidRPr="005E6C8F">
                    <w:rPr>
                      <w:rFonts w:ascii="Times New Roman" w:eastAsia="ヒラギノ明朝 Pro W3" w:hAnsi="Times New Roman" w:cs="Times New Roman"/>
                      <w:sz w:val="18"/>
                      <w:szCs w:val="18"/>
                    </w:rPr>
                    <w:t xml:space="preserve"> (1) Bu Tebliğ hükümlerini Hazine Müsteşarlığının bağlı olduğu Bakan yürütür.</w:t>
                  </w:r>
                </w:p>
                <w:p w:rsidR="005E6C8F" w:rsidRPr="005E6C8F" w:rsidRDefault="005E6C8F" w:rsidP="005E6C8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E6C8F" w:rsidRPr="005E6C8F" w:rsidRDefault="005E6C8F" w:rsidP="005E6C8F">
            <w:pPr>
              <w:spacing w:after="0" w:line="240" w:lineRule="auto"/>
              <w:jc w:val="center"/>
              <w:rPr>
                <w:rFonts w:ascii="Times New Roman" w:eastAsia="Times New Roman" w:hAnsi="Times New Roman" w:cs="Times New Roman"/>
                <w:sz w:val="20"/>
                <w:szCs w:val="20"/>
                <w:lang w:eastAsia="tr-TR"/>
              </w:rPr>
            </w:pPr>
          </w:p>
        </w:tc>
      </w:tr>
    </w:tbl>
    <w:p w:rsidR="005E6C8F" w:rsidRPr="005E6C8F" w:rsidRDefault="005E6C8F" w:rsidP="005E6C8F">
      <w:pPr>
        <w:spacing w:after="0" w:line="240" w:lineRule="auto"/>
        <w:jc w:val="center"/>
        <w:rPr>
          <w:rFonts w:ascii="Times New Roman" w:eastAsia="Times New Roman" w:hAnsi="Times New Roman" w:cs="Times New Roman"/>
          <w:sz w:val="24"/>
          <w:szCs w:val="24"/>
          <w:lang w:eastAsia="tr-TR"/>
        </w:rPr>
      </w:pPr>
    </w:p>
    <w:p w:rsidR="00EB7F3B" w:rsidRDefault="00EB7F3B"/>
    <w:sectPr w:rsidR="00EB7F3B" w:rsidSect="00EB7F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0713E"/>
    <w:multiLevelType w:val="hybridMultilevel"/>
    <w:tmpl w:val="4FE2ED86"/>
    <w:lvl w:ilvl="0" w:tplc="CE9A5F8E">
      <w:start w:val="1"/>
      <w:numFmt w:val="upperLetter"/>
      <w:lvlText w:val="%1."/>
      <w:lvlJc w:val="left"/>
      <w:pPr>
        <w:ind w:left="720" w:hanging="360"/>
      </w:pPr>
      <w:rPr>
        <w:rFonts w:ascii="Times New Roman" w:eastAsia="Times New Roman" w:hAnsi="Times New Roman"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6C8F"/>
    <w:rsid w:val="005E6C8F"/>
    <w:rsid w:val="00EB7F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F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E6C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E6C8F"/>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5E6C8F"/>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5E6C8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sonormalcxsporta">
    <w:name w:val="msonormalcxsporta"/>
    <w:basedOn w:val="Normal"/>
    <w:rsid w:val="005E6C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5E6C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5E6C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5E6C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9326185">
      <w:bodyDiv w:val="1"/>
      <w:marLeft w:val="0"/>
      <w:marRight w:val="0"/>
      <w:marTop w:val="0"/>
      <w:marBottom w:val="0"/>
      <w:divBdr>
        <w:top w:val="none" w:sz="0" w:space="0" w:color="auto"/>
        <w:left w:val="none" w:sz="0" w:space="0" w:color="auto"/>
        <w:bottom w:val="none" w:sz="0" w:space="0" w:color="auto"/>
        <w:right w:val="none" w:sz="0" w:space="0" w:color="auto"/>
      </w:divBdr>
      <w:divsChild>
        <w:div w:id="1141384418">
          <w:marLeft w:val="0"/>
          <w:marRight w:val="0"/>
          <w:marTop w:val="0"/>
          <w:marBottom w:val="0"/>
          <w:divBdr>
            <w:top w:val="none" w:sz="0" w:space="0" w:color="auto"/>
            <w:left w:val="none" w:sz="0" w:space="0" w:color="auto"/>
            <w:bottom w:val="none" w:sz="0" w:space="0" w:color="auto"/>
            <w:right w:val="none" w:sz="0" w:space="0" w:color="auto"/>
          </w:divBdr>
          <w:divsChild>
            <w:div w:id="505052744">
              <w:marLeft w:val="0"/>
              <w:marRight w:val="0"/>
              <w:marTop w:val="0"/>
              <w:marBottom w:val="0"/>
              <w:divBdr>
                <w:top w:val="none" w:sz="0" w:space="0" w:color="auto"/>
                <w:left w:val="none" w:sz="0" w:space="0" w:color="auto"/>
                <w:bottom w:val="none" w:sz="0" w:space="0" w:color="auto"/>
                <w:right w:val="none" w:sz="0" w:space="0" w:color="auto"/>
              </w:divBdr>
              <w:divsChild>
                <w:div w:id="18197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2014-10-20T05:49:00Z</dcterms:created>
  <dcterms:modified xsi:type="dcterms:W3CDTF">2014-10-20T05:49:00Z</dcterms:modified>
</cp:coreProperties>
</file>