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0BC" w:rsidRDefault="00A540BC"/>
    <w:tbl>
      <w:tblPr>
        <w:tblW w:w="0" w:type="auto"/>
        <w:jc w:val="center"/>
        <w:tblInd w:w="108" w:type="dxa"/>
        <w:tblLook w:val="01E0"/>
      </w:tblPr>
      <w:tblGrid>
        <w:gridCol w:w="9104"/>
      </w:tblGrid>
      <w:tr w:rsidR="00960A9D" w:rsidRPr="00960A9D" w:rsidTr="00960A9D">
        <w:trPr>
          <w:jc w:val="center"/>
        </w:trPr>
        <w:tc>
          <w:tcPr>
            <w:tcW w:w="9104" w:type="dxa"/>
            <w:hideMark/>
          </w:tcPr>
          <w:tbl>
            <w:tblPr>
              <w:tblW w:w="8789" w:type="dxa"/>
              <w:jc w:val="center"/>
              <w:tblLook w:val="01E0"/>
            </w:tblPr>
            <w:tblGrid>
              <w:gridCol w:w="2931"/>
              <w:gridCol w:w="2931"/>
              <w:gridCol w:w="2927"/>
            </w:tblGrid>
            <w:tr w:rsidR="00960A9D" w:rsidRPr="00960A9D">
              <w:trPr>
                <w:trHeight w:val="317"/>
                <w:jc w:val="center"/>
              </w:trPr>
              <w:tc>
                <w:tcPr>
                  <w:tcW w:w="2931" w:type="dxa"/>
                  <w:tcBorders>
                    <w:top w:val="nil"/>
                    <w:left w:val="nil"/>
                    <w:bottom w:val="single" w:sz="4" w:space="0" w:color="660066"/>
                    <w:right w:val="nil"/>
                  </w:tcBorders>
                  <w:vAlign w:val="center"/>
                  <w:hideMark/>
                </w:tcPr>
                <w:p w:rsidR="00960A9D" w:rsidRPr="00960A9D" w:rsidRDefault="00960A9D" w:rsidP="00960A9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60A9D">
                    <w:rPr>
                      <w:rFonts w:ascii="Arial" w:eastAsia="Times New Roman" w:hAnsi="Arial" w:cs="Arial"/>
                      <w:sz w:val="16"/>
                      <w:szCs w:val="16"/>
                      <w:lang w:eastAsia="tr-TR"/>
                    </w:rPr>
                    <w:t xml:space="preserve">27 Kasım </w:t>
                  </w:r>
                  <w:proofErr w:type="gramStart"/>
                  <w:r w:rsidRPr="00960A9D">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960A9D" w:rsidRPr="00960A9D" w:rsidRDefault="00960A9D" w:rsidP="00960A9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60A9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60A9D" w:rsidRPr="00960A9D" w:rsidRDefault="00960A9D" w:rsidP="00960A9D">
                  <w:pPr>
                    <w:spacing w:before="100" w:beforeAutospacing="1" w:after="100" w:afterAutospacing="1" w:line="240" w:lineRule="auto"/>
                    <w:jc w:val="right"/>
                    <w:rPr>
                      <w:rFonts w:ascii="Arial" w:eastAsia="Times New Roman" w:hAnsi="Arial" w:cs="Arial"/>
                      <w:sz w:val="16"/>
                      <w:szCs w:val="16"/>
                      <w:lang w:eastAsia="tr-TR"/>
                    </w:rPr>
                  </w:pPr>
                  <w:proofErr w:type="gramStart"/>
                  <w:r w:rsidRPr="00960A9D">
                    <w:rPr>
                      <w:rFonts w:ascii="Arial" w:eastAsia="Times New Roman" w:hAnsi="Arial" w:cs="Arial"/>
                      <w:sz w:val="16"/>
                      <w:szCs w:val="16"/>
                      <w:lang w:eastAsia="tr-TR"/>
                    </w:rPr>
                    <w:t>Sayı : 29188</w:t>
                  </w:r>
                  <w:proofErr w:type="gramEnd"/>
                </w:p>
              </w:tc>
            </w:tr>
            <w:tr w:rsidR="00960A9D" w:rsidRPr="00960A9D">
              <w:trPr>
                <w:trHeight w:val="480"/>
                <w:jc w:val="center"/>
              </w:trPr>
              <w:tc>
                <w:tcPr>
                  <w:tcW w:w="8789" w:type="dxa"/>
                  <w:gridSpan w:val="3"/>
                  <w:vAlign w:val="center"/>
                  <w:hideMark/>
                </w:tcPr>
                <w:p w:rsidR="00960A9D" w:rsidRPr="00960A9D" w:rsidRDefault="00960A9D" w:rsidP="00960A9D">
                  <w:pPr>
                    <w:spacing w:before="100" w:beforeAutospacing="1" w:after="100" w:afterAutospacing="1" w:line="240" w:lineRule="auto"/>
                    <w:jc w:val="center"/>
                    <w:rPr>
                      <w:rFonts w:ascii="Arial" w:eastAsia="Times New Roman" w:hAnsi="Arial" w:cs="Arial"/>
                      <w:b/>
                      <w:color w:val="000080"/>
                      <w:sz w:val="18"/>
                      <w:szCs w:val="18"/>
                      <w:lang w:eastAsia="tr-TR"/>
                    </w:rPr>
                  </w:pPr>
                  <w:r w:rsidRPr="00960A9D">
                    <w:rPr>
                      <w:rFonts w:ascii="Arial" w:eastAsia="Times New Roman" w:hAnsi="Arial" w:cs="Arial"/>
                      <w:b/>
                      <w:color w:val="000080"/>
                      <w:sz w:val="18"/>
                      <w:szCs w:val="18"/>
                      <w:lang w:eastAsia="tr-TR"/>
                    </w:rPr>
                    <w:t>TEBLİĞ</w:t>
                  </w:r>
                </w:p>
              </w:tc>
            </w:tr>
            <w:tr w:rsidR="00960A9D" w:rsidRPr="00960A9D">
              <w:trPr>
                <w:trHeight w:val="480"/>
                <w:jc w:val="center"/>
              </w:trPr>
              <w:tc>
                <w:tcPr>
                  <w:tcW w:w="8789" w:type="dxa"/>
                  <w:gridSpan w:val="3"/>
                  <w:vAlign w:val="center"/>
                </w:tcPr>
                <w:p w:rsidR="00960A9D" w:rsidRPr="00960A9D" w:rsidRDefault="00960A9D" w:rsidP="00960A9D">
                  <w:pPr>
                    <w:tabs>
                      <w:tab w:val="left" w:pos="566"/>
                    </w:tabs>
                    <w:spacing w:after="0" w:line="240" w:lineRule="exact"/>
                    <w:ind w:firstLine="566"/>
                    <w:rPr>
                      <w:rFonts w:ascii="Times New Roman" w:eastAsia="ヒラギノ明朝 Pro W3" w:hAnsi="Times New Roman" w:cs="Times New Roman"/>
                      <w:sz w:val="18"/>
                      <w:szCs w:val="18"/>
                      <w:u w:val="single"/>
                    </w:rPr>
                  </w:pPr>
                  <w:r w:rsidRPr="00960A9D">
                    <w:rPr>
                      <w:rFonts w:ascii="Times New Roman" w:eastAsia="ヒラギノ明朝 Pro W3" w:hAnsi="Times New Roman" w:cs="Times New Roman"/>
                      <w:sz w:val="18"/>
                      <w:szCs w:val="18"/>
                      <w:u w:val="single"/>
                    </w:rPr>
                    <w:t>Ekonomi Bakanlığından:</w:t>
                  </w:r>
                </w:p>
                <w:p w:rsidR="00960A9D" w:rsidRPr="00960A9D" w:rsidRDefault="00960A9D" w:rsidP="00960A9D">
                  <w:pPr>
                    <w:spacing w:after="0" w:line="240" w:lineRule="exact"/>
                    <w:jc w:val="center"/>
                    <w:rPr>
                      <w:rFonts w:ascii="Times New Roman" w:eastAsia="ヒラギノ明朝 Pro W3" w:hAnsi="Times New Roman" w:cs="Times New Roman"/>
                      <w:b/>
                      <w:sz w:val="18"/>
                      <w:szCs w:val="18"/>
                    </w:rPr>
                  </w:pPr>
                  <w:r w:rsidRPr="00960A9D">
                    <w:rPr>
                      <w:rFonts w:ascii="Times New Roman" w:eastAsia="ヒラギノ明朝 Pro W3" w:hAnsi="Times New Roman" w:cs="Times New Roman"/>
                      <w:b/>
                      <w:sz w:val="18"/>
                      <w:szCs w:val="18"/>
                    </w:rPr>
                    <w:t xml:space="preserve">SERBEST BÖLGELERDEN BAŞKA BİR ÜLKEYE YAPILAN SATIŞLARIN </w:t>
                  </w:r>
                </w:p>
                <w:p w:rsidR="00960A9D" w:rsidRPr="00960A9D" w:rsidRDefault="00960A9D" w:rsidP="00960A9D">
                  <w:pPr>
                    <w:spacing w:after="0" w:line="240" w:lineRule="exact"/>
                    <w:jc w:val="center"/>
                    <w:rPr>
                      <w:rFonts w:ascii="Times New Roman" w:eastAsia="ヒラギノ明朝 Pro W3" w:hAnsi="Times New Roman" w:cs="Times New Roman"/>
                      <w:b/>
                      <w:sz w:val="18"/>
                      <w:szCs w:val="18"/>
                    </w:rPr>
                  </w:pPr>
                  <w:r w:rsidRPr="00960A9D">
                    <w:rPr>
                      <w:rFonts w:ascii="Times New Roman" w:eastAsia="ヒラギノ明朝 Pro W3" w:hAnsi="Times New Roman" w:cs="Times New Roman"/>
                      <w:b/>
                      <w:sz w:val="18"/>
                      <w:szCs w:val="18"/>
                    </w:rPr>
                    <w:t xml:space="preserve">TÜRKİYE İHRACAT KREDİ BANKASI A.Ş.’NİN KREDİ, SİGORTA VE </w:t>
                  </w:r>
                </w:p>
                <w:p w:rsidR="00960A9D" w:rsidRPr="00960A9D" w:rsidRDefault="00960A9D" w:rsidP="00960A9D">
                  <w:pPr>
                    <w:spacing w:after="0" w:line="240" w:lineRule="exact"/>
                    <w:jc w:val="center"/>
                    <w:rPr>
                      <w:rFonts w:ascii="Times New Roman" w:eastAsia="ヒラギノ明朝 Pro W3" w:hAnsi="Times New Roman" w:cs="Times New Roman"/>
                      <w:b/>
                      <w:sz w:val="18"/>
                      <w:szCs w:val="18"/>
                    </w:rPr>
                  </w:pPr>
                  <w:r w:rsidRPr="00960A9D">
                    <w:rPr>
                      <w:rFonts w:ascii="Times New Roman" w:eastAsia="ヒラギノ明朝 Pro W3" w:hAnsi="Times New Roman" w:cs="Times New Roman"/>
                      <w:b/>
                      <w:sz w:val="18"/>
                      <w:szCs w:val="18"/>
                    </w:rPr>
                    <w:t xml:space="preserve">GARANTİ HİZMETLERİNDEN YARARLANDIRILMASI </w:t>
                  </w:r>
                </w:p>
                <w:p w:rsidR="00960A9D" w:rsidRPr="00960A9D" w:rsidRDefault="00960A9D" w:rsidP="00960A9D">
                  <w:pPr>
                    <w:spacing w:after="0" w:line="240" w:lineRule="exact"/>
                    <w:jc w:val="center"/>
                    <w:rPr>
                      <w:rFonts w:ascii="Times New Roman" w:eastAsia="ヒラギノ明朝 Pro W3" w:hAnsi="Times New Roman" w:cs="Times New Roman"/>
                      <w:b/>
                      <w:sz w:val="18"/>
                      <w:szCs w:val="18"/>
                    </w:rPr>
                  </w:pPr>
                  <w:r w:rsidRPr="00960A9D">
                    <w:rPr>
                      <w:rFonts w:ascii="Times New Roman" w:eastAsia="ヒラギノ明朝 Pro W3" w:hAnsi="Times New Roman" w:cs="Times New Roman"/>
                      <w:b/>
                      <w:sz w:val="18"/>
                      <w:szCs w:val="18"/>
                    </w:rPr>
                    <w:t>HAKKINDA TEBLİĞ (İHRACAT: 2014/7)</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b/>
                      <w:sz w:val="18"/>
                      <w:szCs w:val="18"/>
                    </w:rPr>
                  </w:pPr>
                  <w:r w:rsidRPr="00960A9D">
                    <w:rPr>
                      <w:rFonts w:ascii="Times New Roman" w:eastAsia="ヒラギノ明朝 Pro W3" w:hAnsi="Times New Roman" w:cs="Times New Roman"/>
                      <w:b/>
                      <w:sz w:val="18"/>
                      <w:szCs w:val="18"/>
                    </w:rPr>
                    <w:t>Amaç</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b/>
                      <w:sz w:val="18"/>
                      <w:szCs w:val="18"/>
                    </w:rPr>
                    <w:t>MADDE 1 –</w:t>
                  </w:r>
                  <w:r w:rsidRPr="00960A9D">
                    <w:rPr>
                      <w:rFonts w:ascii="Times New Roman" w:eastAsia="ヒラギノ明朝 Pro W3" w:hAnsi="Times New Roman" w:cs="Times New Roman"/>
                      <w:sz w:val="18"/>
                      <w:szCs w:val="18"/>
                    </w:rPr>
                    <w:t xml:space="preserve"> (1) Bu Tebliğ; </w:t>
                  </w:r>
                  <w:proofErr w:type="gramStart"/>
                  <w:r w:rsidRPr="00960A9D">
                    <w:rPr>
                      <w:rFonts w:ascii="Times New Roman" w:eastAsia="ヒラギノ明朝 Pro W3" w:hAnsi="Times New Roman" w:cs="Times New Roman"/>
                      <w:sz w:val="18"/>
                      <w:szCs w:val="18"/>
                    </w:rPr>
                    <w:t>22/12/1995</w:t>
                  </w:r>
                  <w:proofErr w:type="gramEnd"/>
                  <w:r w:rsidRPr="00960A9D">
                    <w:rPr>
                      <w:rFonts w:ascii="Times New Roman" w:eastAsia="ヒラギノ明朝 Pro W3" w:hAnsi="Times New Roman" w:cs="Times New Roman"/>
                      <w:sz w:val="18"/>
                      <w:szCs w:val="18"/>
                    </w:rPr>
                    <w:t xml:space="preserve"> tarihli ve 95/7623 sayılı Bakanlar Kurulu Kararı ile yürürlüğe konulan İhracat Rejimi Kararının 2 </w:t>
                  </w:r>
                  <w:proofErr w:type="spellStart"/>
                  <w:r w:rsidRPr="00960A9D">
                    <w:rPr>
                      <w:rFonts w:ascii="Times New Roman" w:eastAsia="ヒラギノ明朝 Pro W3" w:hAnsi="Times New Roman" w:cs="Times New Roman"/>
                      <w:sz w:val="18"/>
                      <w:szCs w:val="18"/>
                    </w:rPr>
                    <w:t>nci</w:t>
                  </w:r>
                  <w:proofErr w:type="spellEnd"/>
                  <w:r w:rsidRPr="00960A9D">
                    <w:rPr>
                      <w:rFonts w:ascii="Times New Roman" w:eastAsia="ヒラギノ明朝 Pro W3" w:hAnsi="Times New Roman" w:cs="Times New Roman"/>
                      <w:sz w:val="18"/>
                      <w:szCs w:val="18"/>
                    </w:rPr>
                    <w:t xml:space="preserve"> ve 3 üncü maddelerine istinaden, 6/6/1985 tarihli ve 3218 sayılı Serbest Bölgeler Kanununa göre Türkiye’de kurulan Serbest Bölgelerde üretim ruhsatı sahibi kullanıcılarca üretilen eşyanın başka ülkelere satışları ile alım-satım ruhsatı sahibi kullanıcılarca serbest bölgeden veya Türkiye’den temin edilen Türk mallarının Serbest Bölgelerden başka ülkelere satışlarını artırmak için, bu kullanıcılara üretim, yatırım ve/veya sevk öncesi aşamalarında işletme sermayesi ihtiyaçları için finansman desteği sağlamak amacıyla hazırlanmıştır.</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b/>
                      <w:sz w:val="18"/>
                      <w:szCs w:val="18"/>
                    </w:rPr>
                  </w:pPr>
                  <w:r w:rsidRPr="00960A9D">
                    <w:rPr>
                      <w:rFonts w:ascii="Times New Roman" w:eastAsia="ヒラギノ明朝 Pro W3" w:hAnsi="Times New Roman" w:cs="Times New Roman"/>
                      <w:b/>
                      <w:sz w:val="18"/>
                      <w:szCs w:val="18"/>
                    </w:rPr>
                    <w:t>Kapsam</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60A9D">
                    <w:rPr>
                      <w:rFonts w:ascii="Times New Roman" w:eastAsia="ヒラギノ明朝 Pro W3" w:hAnsi="Times New Roman" w:cs="Times New Roman"/>
                      <w:b/>
                      <w:sz w:val="18"/>
                      <w:szCs w:val="18"/>
                    </w:rPr>
                    <w:t>MADDE 2 –</w:t>
                  </w:r>
                  <w:r w:rsidRPr="00960A9D">
                    <w:rPr>
                      <w:rFonts w:ascii="Times New Roman" w:eastAsia="ヒラギノ明朝 Pro W3" w:hAnsi="Times New Roman" w:cs="Times New Roman"/>
                      <w:sz w:val="18"/>
                      <w:szCs w:val="18"/>
                    </w:rPr>
                    <w:t xml:space="preserve"> (1) Bu Tebliğ; Serbest Bölgelerden başka bir ülkeye yapılan satışların, Türkiye İhracat Kredi Bankası A.Ş. (Türk </w:t>
                  </w:r>
                  <w:proofErr w:type="spellStart"/>
                  <w:r w:rsidRPr="00960A9D">
                    <w:rPr>
                      <w:rFonts w:ascii="Times New Roman" w:eastAsia="ヒラギノ明朝 Pro W3" w:hAnsi="Times New Roman" w:cs="Times New Roman"/>
                      <w:sz w:val="18"/>
                      <w:szCs w:val="18"/>
                    </w:rPr>
                    <w:t>Eximbank</w:t>
                  </w:r>
                  <w:proofErr w:type="spellEnd"/>
                  <w:r w:rsidRPr="00960A9D">
                    <w:rPr>
                      <w:rFonts w:ascii="Times New Roman" w:eastAsia="ヒラギノ明朝 Pro W3" w:hAnsi="Times New Roman" w:cs="Times New Roman"/>
                      <w:sz w:val="18"/>
                      <w:szCs w:val="18"/>
                    </w:rPr>
                    <w:t>) tarafından; kendi kaynağından, Türkiye Cumhuriyet Merkez Bankası kaynağından, yerel veya uluslararası finansman kuruluşlarından sağladığı kaynaklardan kullandırılan kredi, sigorta ve garanti hizmetlerinden yararlandırılmasına ve bu kapsamda başka bir ülkeye satış yükümlülüğünden doğan taahhüdün kapatılmasına ilişkin usul ve esasları kapsar.</w:t>
                  </w:r>
                  <w:proofErr w:type="gramEnd"/>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b/>
                      <w:sz w:val="18"/>
                      <w:szCs w:val="18"/>
                    </w:rPr>
                  </w:pPr>
                  <w:r w:rsidRPr="00960A9D">
                    <w:rPr>
                      <w:rFonts w:ascii="Times New Roman" w:eastAsia="ヒラギノ明朝 Pro W3" w:hAnsi="Times New Roman" w:cs="Times New Roman"/>
                      <w:b/>
                      <w:sz w:val="18"/>
                      <w:szCs w:val="18"/>
                    </w:rPr>
                    <w:t>Taahhüt süresi ve ek süreler</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60A9D">
                    <w:rPr>
                      <w:rFonts w:ascii="Times New Roman" w:eastAsia="ヒラギノ明朝 Pro W3" w:hAnsi="Times New Roman" w:cs="Times New Roman"/>
                      <w:b/>
                      <w:sz w:val="18"/>
                      <w:szCs w:val="18"/>
                    </w:rPr>
                    <w:t>MADDE 3 –</w:t>
                  </w:r>
                  <w:r w:rsidRPr="00960A9D">
                    <w:rPr>
                      <w:rFonts w:ascii="Times New Roman" w:eastAsia="ヒラギノ明朝 Pro W3" w:hAnsi="Times New Roman" w:cs="Times New Roman"/>
                      <w:sz w:val="18"/>
                      <w:szCs w:val="18"/>
                    </w:rPr>
                    <w:t xml:space="preserve"> (1) Başka ülkeye yapılan satışlar karşılığında Serbest Bölgelerde faaliyette bulunan kullanıcılardan; üretim ruhsatı sahibi firmaların üretim, yatırım ve/veya satış/sevkiyat öncesine; alım-satım ruhsatı sahibi firmaların satış/sevkiyat öncesine yönelik finansman ihtiyaçlarının karşılanmasına ilişkin vade dâhil kredi koşulları ile satışların taahhüt gerçekleştirme süresi ve ek süreler Türk </w:t>
                  </w:r>
                  <w:proofErr w:type="spellStart"/>
                  <w:r w:rsidRPr="00960A9D">
                    <w:rPr>
                      <w:rFonts w:ascii="Times New Roman" w:eastAsia="ヒラギノ明朝 Pro W3" w:hAnsi="Times New Roman" w:cs="Times New Roman"/>
                      <w:sz w:val="18"/>
                      <w:szCs w:val="18"/>
                    </w:rPr>
                    <w:t>Eximbank</w:t>
                  </w:r>
                  <w:proofErr w:type="spellEnd"/>
                  <w:r w:rsidRPr="00960A9D">
                    <w:rPr>
                      <w:rFonts w:ascii="Times New Roman" w:eastAsia="ヒラギノ明朝 Pro W3" w:hAnsi="Times New Roman" w:cs="Times New Roman"/>
                      <w:sz w:val="18"/>
                      <w:szCs w:val="18"/>
                    </w:rPr>
                    <w:t xml:space="preserve"> tarafından belirlenir.</w:t>
                  </w:r>
                  <w:proofErr w:type="gramEnd"/>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sz w:val="18"/>
                      <w:szCs w:val="18"/>
                    </w:rPr>
                    <w:t>(2) Serbest bölgeden başka bir ülkeye taahhüt edilen satış gerçekleştirilmeden kredi riskinin kapatılması, taahhüdü ortadan kaldırmaz. Kredinin vadeden önce/erken ödenmesi halinde, taahhüt süresi içinde yapılan satış kredi taahhüdüne sayılır.</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b/>
                      <w:sz w:val="18"/>
                      <w:szCs w:val="18"/>
                    </w:rPr>
                  </w:pPr>
                  <w:r w:rsidRPr="00960A9D">
                    <w:rPr>
                      <w:rFonts w:ascii="Times New Roman" w:eastAsia="ヒラギノ明朝 Pro W3" w:hAnsi="Times New Roman" w:cs="Times New Roman"/>
                      <w:b/>
                      <w:sz w:val="18"/>
                      <w:szCs w:val="18"/>
                    </w:rPr>
                    <w:t>Taahhüdün kapatılması</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b/>
                      <w:sz w:val="18"/>
                      <w:szCs w:val="18"/>
                    </w:rPr>
                    <w:t>MADDE 4 –</w:t>
                  </w:r>
                  <w:r w:rsidRPr="00960A9D">
                    <w:rPr>
                      <w:rFonts w:ascii="Times New Roman" w:eastAsia="ヒラギノ明朝 Pro W3" w:hAnsi="Times New Roman" w:cs="Times New Roman"/>
                      <w:sz w:val="18"/>
                      <w:szCs w:val="18"/>
                    </w:rPr>
                    <w:t xml:space="preserve"> (1) Serbest Bölgelerden başka bir ülkeye yapılan satışlara ilişkin taahhütler, Türk </w:t>
                  </w:r>
                  <w:proofErr w:type="spellStart"/>
                  <w:r w:rsidRPr="00960A9D">
                    <w:rPr>
                      <w:rFonts w:ascii="Times New Roman" w:eastAsia="ヒラギノ明朝 Pro W3" w:hAnsi="Times New Roman" w:cs="Times New Roman"/>
                      <w:sz w:val="18"/>
                      <w:szCs w:val="18"/>
                    </w:rPr>
                    <w:t>Eximbank’ın</w:t>
                  </w:r>
                  <w:proofErr w:type="spellEnd"/>
                  <w:r w:rsidRPr="00960A9D">
                    <w:rPr>
                      <w:rFonts w:ascii="Times New Roman" w:eastAsia="ヒラギノ明朝 Pro W3" w:hAnsi="Times New Roman" w:cs="Times New Roman"/>
                      <w:sz w:val="18"/>
                      <w:szCs w:val="18"/>
                    </w:rPr>
                    <w:t xml:space="preserve"> belirleyeceği usuller çerçevesinde, krediyi alan kullanıcı tarafından gerçekleştirilen kesin satışı tevsik eden ve ilgili banka tarafından talep edilen bilgi ve belgelere istinaden kapatılır.</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sz w:val="18"/>
                      <w:szCs w:val="18"/>
                    </w:rPr>
                    <w:t>(2) İlgili banka tarafından, kullandırılacak kredilere ilişkin taahhüt hesaplanırken (Türk Lirası ihracat kredileri hariç), anapara ile birlikte faiz, komisyon ve diğer masraflar da hesaplamaya dâhil edilir.</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b/>
                      <w:sz w:val="18"/>
                      <w:szCs w:val="18"/>
                    </w:rPr>
                  </w:pPr>
                  <w:r w:rsidRPr="00960A9D">
                    <w:rPr>
                      <w:rFonts w:ascii="Times New Roman" w:eastAsia="ヒラギノ明朝 Pro W3" w:hAnsi="Times New Roman" w:cs="Times New Roman"/>
                      <w:b/>
                      <w:sz w:val="18"/>
                      <w:szCs w:val="18"/>
                    </w:rPr>
                    <w:t>Mücbir sebep ve fevkalade haller</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b/>
                      <w:sz w:val="18"/>
                      <w:szCs w:val="18"/>
                    </w:rPr>
                    <w:t>MADDE 5 –</w:t>
                  </w:r>
                  <w:r w:rsidRPr="00960A9D">
                    <w:rPr>
                      <w:rFonts w:ascii="Times New Roman" w:eastAsia="ヒラギノ明朝 Pro W3" w:hAnsi="Times New Roman" w:cs="Times New Roman"/>
                      <w:sz w:val="18"/>
                      <w:szCs w:val="18"/>
                    </w:rPr>
                    <w:t xml:space="preserve"> (1) Aşağıda belirtilen mücbir sebep ve fevkalade hallerin kredinin süresi içinde vukuu halinde, kredi taahhüt süresinin (ek süre dâhil) bitim tarihinden itibaren 3 üncü maddede Türk </w:t>
                  </w:r>
                  <w:proofErr w:type="spellStart"/>
                  <w:r w:rsidRPr="00960A9D">
                    <w:rPr>
                      <w:rFonts w:ascii="Times New Roman" w:eastAsia="ヒラギノ明朝 Pro W3" w:hAnsi="Times New Roman" w:cs="Times New Roman"/>
                      <w:sz w:val="18"/>
                      <w:szCs w:val="18"/>
                    </w:rPr>
                    <w:t>Eximbank</w:t>
                  </w:r>
                  <w:proofErr w:type="spellEnd"/>
                  <w:r w:rsidRPr="00960A9D">
                    <w:rPr>
                      <w:rFonts w:ascii="Times New Roman" w:eastAsia="ヒラギノ明朝 Pro W3" w:hAnsi="Times New Roman" w:cs="Times New Roman"/>
                      <w:sz w:val="18"/>
                      <w:szCs w:val="18"/>
                    </w:rPr>
                    <w:t xml:space="preserve"> tarafından belirlenen sürelere ilave olarak ek süre verilebilir;</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sz w:val="18"/>
                      <w:szCs w:val="18"/>
                    </w:rPr>
                    <w:t>a) Deprem, sel, don, fırtına, kasırga ve benzeri tabii afetler ve yangın (Çevre ve Şehircilik Bakanlığı veya Gıda, Tarım ve Hayvancılık Bakanlığı İl Müdürlükleri, İtfaiye Müdürlükleri veya ilgili diğer kurumlardan alınacak yazı ile),</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sz w:val="18"/>
                      <w:szCs w:val="18"/>
                    </w:rPr>
                    <w:t>b) Yükümlü kullanıcının faaliyetinin kamu otoritelerince durdurulması (kullanıcı faaliyetini durduran kamu kurumundan alınacak yazı ile),</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sz w:val="18"/>
                      <w:szCs w:val="18"/>
                    </w:rPr>
                    <w:t>c) Grev ve lokavt (Çalışma ve İş Kurumu İl Müdürlüklerinden alınacak yazı ile),</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sz w:val="18"/>
                      <w:szCs w:val="18"/>
                    </w:rPr>
                    <w:t>ç) Ülkemiz veya ithalatçı ülkede Devletçe konulan yasaklar ile harp ve abluka hali,</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sz w:val="18"/>
                      <w:szCs w:val="18"/>
                    </w:rPr>
                    <w:t xml:space="preserve">d) Yükümlü kullanıcının iflası ya da </w:t>
                  </w:r>
                  <w:proofErr w:type="gramStart"/>
                  <w:r w:rsidRPr="00960A9D">
                    <w:rPr>
                      <w:rFonts w:ascii="Times New Roman" w:eastAsia="ヒラギノ明朝 Pro W3" w:hAnsi="Times New Roman" w:cs="Times New Roman"/>
                      <w:sz w:val="18"/>
                      <w:szCs w:val="18"/>
                    </w:rPr>
                    <w:t>konkordato</w:t>
                  </w:r>
                  <w:proofErr w:type="gramEnd"/>
                  <w:r w:rsidRPr="00960A9D">
                    <w:rPr>
                      <w:rFonts w:ascii="Times New Roman" w:eastAsia="ヒラギノ明朝 Pro W3" w:hAnsi="Times New Roman" w:cs="Times New Roman"/>
                      <w:sz w:val="18"/>
                      <w:szCs w:val="18"/>
                    </w:rPr>
                    <w:t xml:space="preserve"> ilan etmiş olması (Mahkeme Kararı ile),</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sz w:val="18"/>
                      <w:szCs w:val="18"/>
                    </w:rPr>
                    <w:t>e) Şahıs firması kullanıcılarda firma sahibinin ölümü,</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sz w:val="18"/>
                      <w:szCs w:val="18"/>
                    </w:rPr>
                    <w:t>f) (a), (b), (c), (ç), (d), (e) bentlerindeki mücbir sebep ve fevkalade haller dışında kullanıcının taahhüt yükümlülüğünü yerine getirmesine engel teşkil eden, kendisinin belirleyemediği bir takım haklı sebeplerin varlığı ve belgelenmesi halinde, söz konusu durum ilgili banka tarafından değerlendirilerek mücbir sebep kapsamında kabul edilebilir.</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sz w:val="18"/>
                      <w:szCs w:val="18"/>
                    </w:rPr>
                    <w:t>(2) Kullanıcıların mücbir sebep ve fevkalade hallerden yararlanabilmeleri için; en geç kredi taahhüt süresinin sonunu takip eden 1 (bir) ay içerisinde ilgili bankaya müracaat etmeleri gerekir. Belirtilen süreler dışında yapılan müracaatlar değerlendirilmez.</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sz w:val="18"/>
                      <w:szCs w:val="18"/>
                    </w:rPr>
                    <w:lastRenderedPageBreak/>
                    <w:t>(3) Birinci fıkranın (ç) bendindeki mücbir sebep ve fevkalade haller Ekonomi Bakanlığınca, diğer bentlerdeki mücbir sebep ve fevkalade haller ise, ilgili banka tarafından belirlenir.</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sz w:val="18"/>
                      <w:szCs w:val="18"/>
                    </w:rPr>
                    <w:t>(4) İlgili bankaca krediye ilişkin satış taahhüdü süresi, mücbir sebep ve fevkalade hale ilişkin ilgili kamu kurumundan alınacak belgede belirtilen süreler dikkate alınarak uzatılabilir.</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sz w:val="18"/>
                      <w:szCs w:val="18"/>
                    </w:rPr>
                    <w:t>(5) Birinci fıkrada belirtilen mücbir sebep ve fevkalade haller yalnız süre uzatımlarında dikkate alınır, taahhüdü ortadan kaldırmaz.</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b/>
                      <w:sz w:val="18"/>
                      <w:szCs w:val="18"/>
                    </w:rPr>
                  </w:pPr>
                  <w:r w:rsidRPr="00960A9D">
                    <w:rPr>
                      <w:rFonts w:ascii="Times New Roman" w:eastAsia="ヒラギノ明朝 Pro W3" w:hAnsi="Times New Roman" w:cs="Times New Roman"/>
                      <w:b/>
                      <w:sz w:val="18"/>
                      <w:szCs w:val="18"/>
                    </w:rPr>
                    <w:t>Müeyyide</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b/>
                      <w:sz w:val="18"/>
                      <w:szCs w:val="18"/>
                    </w:rPr>
                    <w:t>MADDE 6 –</w:t>
                  </w:r>
                  <w:r w:rsidRPr="00960A9D">
                    <w:rPr>
                      <w:rFonts w:ascii="Times New Roman" w:eastAsia="ヒラギノ明朝 Pro W3" w:hAnsi="Times New Roman" w:cs="Times New Roman"/>
                      <w:sz w:val="18"/>
                      <w:szCs w:val="18"/>
                    </w:rPr>
                    <w:t xml:space="preserve"> (1) Krediden yararlanan kullanıcı tarafından süresi içerisinde taahhüdün gerçekleştirilememesi halinde Türk </w:t>
                  </w:r>
                  <w:proofErr w:type="spellStart"/>
                  <w:r w:rsidRPr="00960A9D">
                    <w:rPr>
                      <w:rFonts w:ascii="Times New Roman" w:eastAsia="ヒラギノ明朝 Pro W3" w:hAnsi="Times New Roman" w:cs="Times New Roman"/>
                      <w:sz w:val="18"/>
                      <w:szCs w:val="18"/>
                    </w:rPr>
                    <w:t>Eximbank’ın</w:t>
                  </w:r>
                  <w:proofErr w:type="spellEnd"/>
                  <w:r w:rsidRPr="00960A9D">
                    <w:rPr>
                      <w:rFonts w:ascii="Times New Roman" w:eastAsia="ヒラギノ明朝 Pro W3" w:hAnsi="Times New Roman" w:cs="Times New Roman"/>
                      <w:sz w:val="18"/>
                      <w:szCs w:val="18"/>
                    </w:rPr>
                    <w:t xml:space="preserve"> ilgili programlarının uygulama esaslarında belirtilen müeyyideler uygulanır.</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b/>
                      <w:sz w:val="18"/>
                      <w:szCs w:val="18"/>
                    </w:rPr>
                  </w:pPr>
                  <w:r w:rsidRPr="00960A9D">
                    <w:rPr>
                      <w:rFonts w:ascii="Times New Roman" w:eastAsia="ヒラギノ明朝 Pro W3" w:hAnsi="Times New Roman" w:cs="Times New Roman"/>
                      <w:b/>
                      <w:sz w:val="18"/>
                      <w:szCs w:val="18"/>
                    </w:rPr>
                    <w:t>Yetki</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b/>
                      <w:sz w:val="18"/>
                      <w:szCs w:val="18"/>
                    </w:rPr>
                    <w:t>MADDE 7 –</w:t>
                  </w:r>
                  <w:r w:rsidRPr="00960A9D">
                    <w:rPr>
                      <w:rFonts w:ascii="Times New Roman" w:eastAsia="ヒラギノ明朝 Pro W3" w:hAnsi="Times New Roman" w:cs="Times New Roman"/>
                      <w:sz w:val="18"/>
                      <w:szCs w:val="18"/>
                    </w:rPr>
                    <w:t xml:space="preserve"> (1) Ekonomi Bakanlığı, bu Tebliğin uygulanmasına ilişkin izin ve talimat vermeye, özel ve zorunlu durumları inceleyip sonuçlandırmaya ve uygulamada ortaya çıkacak ihtilafları idari yoldan çözmeye yetkilidir.</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b/>
                      <w:sz w:val="18"/>
                      <w:szCs w:val="18"/>
                    </w:rPr>
                  </w:pPr>
                  <w:r w:rsidRPr="00960A9D">
                    <w:rPr>
                      <w:rFonts w:ascii="Times New Roman" w:eastAsia="ヒラギノ明朝 Pro W3" w:hAnsi="Times New Roman" w:cs="Times New Roman"/>
                      <w:b/>
                      <w:sz w:val="18"/>
                      <w:szCs w:val="18"/>
                    </w:rPr>
                    <w:t>Yürürlükten kaldırılan tebliğ</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b/>
                      <w:sz w:val="18"/>
                      <w:szCs w:val="18"/>
                    </w:rPr>
                    <w:t>MADDE 8 –</w:t>
                  </w:r>
                  <w:r w:rsidRPr="00960A9D">
                    <w:rPr>
                      <w:rFonts w:ascii="Times New Roman" w:eastAsia="ヒラギノ明朝 Pro W3" w:hAnsi="Times New Roman" w:cs="Times New Roman"/>
                      <w:sz w:val="18"/>
                      <w:szCs w:val="18"/>
                    </w:rPr>
                    <w:t xml:space="preserve"> (1) 11/4/2009 tarihli ve 27197 sayılı Resmî Gazete’de </w:t>
                  </w:r>
                  <w:proofErr w:type="gramStart"/>
                  <w:r w:rsidRPr="00960A9D">
                    <w:rPr>
                      <w:rFonts w:ascii="Times New Roman" w:eastAsia="ヒラギノ明朝 Pro W3" w:hAnsi="Times New Roman" w:cs="Times New Roman"/>
                      <w:sz w:val="18"/>
                      <w:szCs w:val="18"/>
                    </w:rPr>
                    <w:t>yayımlanan  Serbest</w:t>
                  </w:r>
                  <w:proofErr w:type="gramEnd"/>
                  <w:r w:rsidRPr="00960A9D">
                    <w:rPr>
                      <w:rFonts w:ascii="Times New Roman" w:eastAsia="ヒラギノ明朝 Pro W3" w:hAnsi="Times New Roman" w:cs="Times New Roman"/>
                      <w:sz w:val="18"/>
                      <w:szCs w:val="18"/>
                    </w:rPr>
                    <w:t xml:space="preserve"> Bölgelerden Başka Bir Ülkeye Yapılan Satışların Türkiye İhracat Kredi Bankası A.Ş.’</w:t>
                  </w:r>
                  <w:proofErr w:type="spellStart"/>
                  <w:r w:rsidRPr="00960A9D">
                    <w:rPr>
                      <w:rFonts w:ascii="Times New Roman" w:eastAsia="ヒラギノ明朝 Pro W3" w:hAnsi="Times New Roman" w:cs="Times New Roman"/>
                      <w:sz w:val="18"/>
                      <w:szCs w:val="18"/>
                    </w:rPr>
                    <w:t>nin</w:t>
                  </w:r>
                  <w:proofErr w:type="spellEnd"/>
                  <w:r w:rsidRPr="00960A9D">
                    <w:rPr>
                      <w:rFonts w:ascii="Times New Roman" w:eastAsia="ヒラギノ明朝 Pro W3" w:hAnsi="Times New Roman" w:cs="Times New Roman"/>
                      <w:sz w:val="18"/>
                      <w:szCs w:val="18"/>
                    </w:rPr>
                    <w:t xml:space="preserve"> Kredi, Sigorta ve Garanti Hizmetlerinden Yararlandırılması Hakkında Tebliğ (İhracat:2009/5) yürürlükten kaldırılmıştır.</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b/>
                      <w:sz w:val="18"/>
                      <w:szCs w:val="18"/>
                    </w:rPr>
                  </w:pPr>
                  <w:r w:rsidRPr="00960A9D">
                    <w:rPr>
                      <w:rFonts w:ascii="Times New Roman" w:eastAsia="ヒラギノ明朝 Pro W3" w:hAnsi="Times New Roman" w:cs="Times New Roman"/>
                      <w:b/>
                      <w:sz w:val="18"/>
                      <w:szCs w:val="18"/>
                    </w:rPr>
                    <w:t>Geçiş hükmü</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b/>
                      <w:sz w:val="18"/>
                      <w:szCs w:val="18"/>
                    </w:rPr>
                    <w:t>GEÇİCİ MADDE 1 –</w:t>
                  </w:r>
                  <w:r w:rsidRPr="00960A9D">
                    <w:rPr>
                      <w:rFonts w:ascii="Times New Roman" w:eastAsia="ヒラギノ明朝 Pro W3" w:hAnsi="Times New Roman" w:cs="Times New Roman"/>
                      <w:sz w:val="18"/>
                      <w:szCs w:val="18"/>
                    </w:rPr>
                    <w:t xml:space="preserve"> (1) Bu Tebliğin yayımı tarihinden önce kullanılan krediler 8 inci madde ile yürürlükten kaldırılan Serbest Bölgelerden Başka Bir Ülkeye Yapılan Satışların Türkiye İhracat Kredi Bankası A.Ş.’</w:t>
                  </w:r>
                  <w:proofErr w:type="spellStart"/>
                  <w:r w:rsidRPr="00960A9D">
                    <w:rPr>
                      <w:rFonts w:ascii="Times New Roman" w:eastAsia="ヒラギノ明朝 Pro W3" w:hAnsi="Times New Roman" w:cs="Times New Roman"/>
                      <w:sz w:val="18"/>
                      <w:szCs w:val="18"/>
                    </w:rPr>
                    <w:t>nin</w:t>
                  </w:r>
                  <w:proofErr w:type="spellEnd"/>
                  <w:r w:rsidRPr="00960A9D">
                    <w:rPr>
                      <w:rFonts w:ascii="Times New Roman" w:eastAsia="ヒラギノ明朝 Pro W3" w:hAnsi="Times New Roman" w:cs="Times New Roman"/>
                      <w:sz w:val="18"/>
                      <w:szCs w:val="18"/>
                    </w:rPr>
                    <w:t xml:space="preserve"> Kredi, Sigorta ve Garanti Hizmetlerinden Yararlandırılması Hakkında Tebliğ (İhracat: 2009/5) hükümlerine tabidir. Ancak, henüz satış taahhüdü kapatılmamış olan kredilere bu Tebliğin lehe olan hükümleri uygulanabilir.</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b/>
                      <w:sz w:val="18"/>
                      <w:szCs w:val="18"/>
                    </w:rPr>
                  </w:pPr>
                  <w:r w:rsidRPr="00960A9D">
                    <w:rPr>
                      <w:rFonts w:ascii="Times New Roman" w:eastAsia="ヒラギノ明朝 Pro W3" w:hAnsi="Times New Roman" w:cs="Times New Roman"/>
                      <w:b/>
                      <w:sz w:val="18"/>
                      <w:szCs w:val="18"/>
                    </w:rPr>
                    <w:t>Yürürlük</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b/>
                      <w:sz w:val="18"/>
                      <w:szCs w:val="18"/>
                    </w:rPr>
                    <w:t>MADDE 9 –</w:t>
                  </w:r>
                  <w:r w:rsidRPr="00960A9D">
                    <w:rPr>
                      <w:rFonts w:ascii="Times New Roman" w:eastAsia="ヒラギノ明朝 Pro W3" w:hAnsi="Times New Roman" w:cs="Times New Roman"/>
                      <w:sz w:val="18"/>
                      <w:szCs w:val="18"/>
                    </w:rPr>
                    <w:t xml:space="preserve"> (1) Bu Tebliğ yayımı tarihinde yürürlüğe girer.</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b/>
                      <w:sz w:val="18"/>
                      <w:szCs w:val="18"/>
                    </w:rPr>
                  </w:pPr>
                  <w:r w:rsidRPr="00960A9D">
                    <w:rPr>
                      <w:rFonts w:ascii="Times New Roman" w:eastAsia="ヒラギノ明朝 Pro W3" w:hAnsi="Times New Roman" w:cs="Times New Roman"/>
                      <w:b/>
                      <w:sz w:val="18"/>
                      <w:szCs w:val="18"/>
                    </w:rPr>
                    <w:t>Yürütme</w:t>
                  </w:r>
                </w:p>
                <w:p w:rsidR="00960A9D" w:rsidRPr="00960A9D" w:rsidRDefault="00960A9D" w:rsidP="00960A9D">
                  <w:pPr>
                    <w:tabs>
                      <w:tab w:val="left" w:pos="566"/>
                    </w:tabs>
                    <w:spacing w:after="0" w:line="240" w:lineRule="exact"/>
                    <w:ind w:firstLine="566"/>
                    <w:jc w:val="both"/>
                    <w:rPr>
                      <w:rFonts w:ascii="Times New Roman" w:eastAsia="ヒラギノ明朝 Pro W3" w:hAnsi="Times New Roman" w:cs="Times New Roman"/>
                      <w:sz w:val="18"/>
                      <w:szCs w:val="18"/>
                    </w:rPr>
                  </w:pPr>
                  <w:r w:rsidRPr="00960A9D">
                    <w:rPr>
                      <w:rFonts w:ascii="Times New Roman" w:eastAsia="ヒラギノ明朝 Pro W3" w:hAnsi="Times New Roman" w:cs="Times New Roman"/>
                      <w:b/>
                      <w:sz w:val="18"/>
                      <w:szCs w:val="18"/>
                    </w:rPr>
                    <w:t>MADDE 10 –</w:t>
                  </w:r>
                  <w:r w:rsidRPr="00960A9D">
                    <w:rPr>
                      <w:rFonts w:ascii="Times New Roman" w:eastAsia="ヒラギノ明朝 Pro W3" w:hAnsi="Times New Roman" w:cs="Times New Roman"/>
                      <w:sz w:val="18"/>
                      <w:szCs w:val="18"/>
                    </w:rPr>
                    <w:t xml:space="preserve"> (1) Bu Tebliğ hükümlerini Ekonomi Bakanı yürütür.</w:t>
                  </w:r>
                </w:p>
                <w:p w:rsidR="00960A9D" w:rsidRPr="00960A9D" w:rsidRDefault="00960A9D" w:rsidP="00960A9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60A9D" w:rsidRPr="00960A9D" w:rsidRDefault="00960A9D" w:rsidP="00960A9D">
            <w:pPr>
              <w:spacing w:after="0" w:line="240" w:lineRule="auto"/>
              <w:jc w:val="center"/>
              <w:rPr>
                <w:rFonts w:ascii="Times New Roman" w:eastAsia="Times New Roman" w:hAnsi="Times New Roman" w:cs="Times New Roman"/>
                <w:sz w:val="20"/>
                <w:szCs w:val="20"/>
                <w:lang w:eastAsia="tr-TR"/>
              </w:rPr>
            </w:pPr>
          </w:p>
        </w:tc>
      </w:tr>
    </w:tbl>
    <w:p w:rsidR="00960A9D" w:rsidRPr="00960A9D" w:rsidRDefault="00960A9D" w:rsidP="00960A9D">
      <w:pPr>
        <w:spacing w:after="0" w:line="240" w:lineRule="auto"/>
        <w:jc w:val="center"/>
        <w:rPr>
          <w:rFonts w:ascii="Times New Roman" w:eastAsia="Times New Roman" w:hAnsi="Times New Roman" w:cs="Times New Roman"/>
          <w:sz w:val="24"/>
          <w:szCs w:val="24"/>
          <w:lang w:eastAsia="tr-TR"/>
        </w:rPr>
      </w:pPr>
    </w:p>
    <w:p w:rsidR="00960A9D" w:rsidRDefault="00960A9D"/>
    <w:sectPr w:rsidR="00960A9D" w:rsidSect="00A540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Arial Unicode MS"/>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960A9D"/>
    <w:rsid w:val="00960A9D"/>
    <w:rsid w:val="00A540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0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60A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960A9D"/>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960A9D"/>
    <w:pPr>
      <w:tabs>
        <w:tab w:val="left" w:pos="566"/>
      </w:tabs>
      <w:spacing w:after="0" w:line="267" w:lineRule="exact"/>
      <w:jc w:val="both"/>
    </w:pPr>
    <w:rPr>
      <w:rFonts w:ascii="Times New Roman" w:eastAsia="ヒラギノ明朝 Pro W3" w:hAnsi="Times" w:cs="Times New Roman"/>
      <w:sz w:val="19"/>
      <w:szCs w:val="20"/>
    </w:rPr>
  </w:style>
  <w:style w:type="paragraph" w:customStyle="1" w:styleId="1-Baslk">
    <w:name w:val="1-Baslık"/>
    <w:rsid w:val="00960A9D"/>
    <w:pPr>
      <w:tabs>
        <w:tab w:val="left" w:pos="566"/>
      </w:tabs>
      <w:spacing w:after="0" w:line="240" w:lineRule="auto"/>
    </w:pPr>
    <w:rPr>
      <w:rFonts w:ascii="Times New Roman" w:eastAsia="ヒラギノ明朝 Pro W3" w:hAnsi="Times" w:cs="Times New Roman"/>
      <w:szCs w:val="20"/>
      <w:u w:val="single"/>
    </w:rPr>
  </w:style>
</w:styles>
</file>

<file path=word/webSettings.xml><?xml version="1.0" encoding="utf-8"?>
<w:webSettings xmlns:r="http://schemas.openxmlformats.org/officeDocument/2006/relationships" xmlns:w="http://schemas.openxmlformats.org/wordprocessingml/2006/main">
  <w:divs>
    <w:div w:id="1493375926">
      <w:bodyDiv w:val="1"/>
      <w:marLeft w:val="0"/>
      <w:marRight w:val="0"/>
      <w:marTop w:val="0"/>
      <w:marBottom w:val="0"/>
      <w:divBdr>
        <w:top w:val="none" w:sz="0" w:space="0" w:color="auto"/>
        <w:left w:val="none" w:sz="0" w:space="0" w:color="auto"/>
        <w:bottom w:val="none" w:sz="0" w:space="0" w:color="auto"/>
        <w:right w:val="none" w:sz="0" w:space="0" w:color="auto"/>
      </w:divBdr>
      <w:divsChild>
        <w:div w:id="1320424418">
          <w:marLeft w:val="0"/>
          <w:marRight w:val="0"/>
          <w:marTop w:val="0"/>
          <w:marBottom w:val="0"/>
          <w:divBdr>
            <w:top w:val="none" w:sz="0" w:space="0" w:color="auto"/>
            <w:left w:val="none" w:sz="0" w:space="0" w:color="auto"/>
            <w:bottom w:val="none" w:sz="0" w:space="0" w:color="auto"/>
            <w:right w:val="none" w:sz="0" w:space="0" w:color="auto"/>
          </w:divBdr>
          <w:divsChild>
            <w:div w:id="1873567366">
              <w:marLeft w:val="0"/>
              <w:marRight w:val="0"/>
              <w:marTop w:val="0"/>
              <w:marBottom w:val="0"/>
              <w:divBdr>
                <w:top w:val="none" w:sz="0" w:space="0" w:color="auto"/>
                <w:left w:val="none" w:sz="0" w:space="0" w:color="auto"/>
                <w:bottom w:val="none" w:sz="0" w:space="0" w:color="auto"/>
                <w:right w:val="none" w:sz="0" w:space="0" w:color="auto"/>
              </w:divBdr>
              <w:divsChild>
                <w:div w:id="186150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910</Words>
  <Characters>5191</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2014-11-27T06:39:00Z</dcterms:created>
  <dcterms:modified xsi:type="dcterms:W3CDTF">2014-11-27T06:39:00Z</dcterms:modified>
</cp:coreProperties>
</file>