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71EE5" w:rsidRPr="00471EE5" w:rsidTr="00471EE5">
        <w:trPr>
          <w:jc w:val="center"/>
        </w:trPr>
        <w:tc>
          <w:tcPr>
            <w:tcW w:w="9104" w:type="dxa"/>
            <w:hideMark/>
          </w:tcPr>
          <w:tbl>
            <w:tblPr>
              <w:tblW w:w="8789" w:type="dxa"/>
              <w:jc w:val="center"/>
              <w:tblLook w:val="01E0"/>
            </w:tblPr>
            <w:tblGrid>
              <w:gridCol w:w="2931"/>
              <w:gridCol w:w="2931"/>
              <w:gridCol w:w="2927"/>
            </w:tblGrid>
            <w:tr w:rsidR="00471EE5" w:rsidRPr="00471EE5">
              <w:trPr>
                <w:trHeight w:val="317"/>
                <w:jc w:val="center"/>
              </w:trPr>
              <w:tc>
                <w:tcPr>
                  <w:tcW w:w="2931" w:type="dxa"/>
                  <w:tcBorders>
                    <w:top w:val="nil"/>
                    <w:left w:val="nil"/>
                    <w:bottom w:val="single" w:sz="4" w:space="0" w:color="660066"/>
                    <w:right w:val="nil"/>
                  </w:tcBorders>
                  <w:vAlign w:val="center"/>
                  <w:hideMark/>
                </w:tcPr>
                <w:p w:rsidR="00471EE5" w:rsidRPr="00471EE5" w:rsidRDefault="00471EE5" w:rsidP="00471EE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71EE5">
                    <w:rPr>
                      <w:rFonts w:ascii="Arial" w:eastAsia="Times New Roman" w:hAnsi="Arial" w:cs="Arial"/>
                      <w:sz w:val="16"/>
                      <w:szCs w:val="16"/>
                      <w:lang w:eastAsia="tr-TR"/>
                    </w:rPr>
                    <w:t xml:space="preserve">2 Aralık </w:t>
                  </w:r>
                  <w:proofErr w:type="gramStart"/>
                  <w:r w:rsidRPr="00471EE5">
                    <w:rPr>
                      <w:rFonts w:ascii="Arial" w:eastAsia="Times New Roman" w:hAnsi="Arial" w:cs="Arial"/>
                      <w:sz w:val="16"/>
                      <w:szCs w:val="16"/>
                      <w:lang w:eastAsia="tr-TR"/>
                    </w:rPr>
                    <w:t>2014  SALI</w:t>
                  </w:r>
                  <w:proofErr w:type="gramEnd"/>
                </w:p>
              </w:tc>
              <w:tc>
                <w:tcPr>
                  <w:tcW w:w="2931" w:type="dxa"/>
                  <w:tcBorders>
                    <w:top w:val="nil"/>
                    <w:left w:val="nil"/>
                    <w:bottom w:val="single" w:sz="4" w:space="0" w:color="660066"/>
                    <w:right w:val="nil"/>
                  </w:tcBorders>
                  <w:vAlign w:val="center"/>
                  <w:hideMark/>
                </w:tcPr>
                <w:p w:rsidR="00471EE5" w:rsidRPr="00471EE5" w:rsidRDefault="00471EE5" w:rsidP="00471EE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71EE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71EE5" w:rsidRPr="00471EE5" w:rsidRDefault="00471EE5" w:rsidP="00471EE5">
                  <w:pPr>
                    <w:spacing w:before="100" w:beforeAutospacing="1" w:after="100" w:afterAutospacing="1" w:line="240" w:lineRule="auto"/>
                    <w:jc w:val="right"/>
                    <w:rPr>
                      <w:rFonts w:ascii="Arial" w:eastAsia="Times New Roman" w:hAnsi="Arial" w:cs="Arial"/>
                      <w:sz w:val="16"/>
                      <w:szCs w:val="16"/>
                      <w:lang w:eastAsia="tr-TR"/>
                    </w:rPr>
                  </w:pPr>
                  <w:proofErr w:type="gramStart"/>
                  <w:r w:rsidRPr="00471EE5">
                    <w:rPr>
                      <w:rFonts w:ascii="Arial" w:eastAsia="Times New Roman" w:hAnsi="Arial" w:cs="Arial"/>
                      <w:sz w:val="16"/>
                      <w:szCs w:val="16"/>
                      <w:lang w:eastAsia="tr-TR"/>
                    </w:rPr>
                    <w:t>Sayı : 29193</w:t>
                  </w:r>
                  <w:proofErr w:type="gramEnd"/>
                </w:p>
              </w:tc>
            </w:tr>
            <w:tr w:rsidR="00471EE5" w:rsidRPr="00471EE5">
              <w:trPr>
                <w:trHeight w:val="480"/>
                <w:jc w:val="center"/>
              </w:trPr>
              <w:tc>
                <w:tcPr>
                  <w:tcW w:w="8789" w:type="dxa"/>
                  <w:gridSpan w:val="3"/>
                  <w:vAlign w:val="center"/>
                  <w:hideMark/>
                </w:tcPr>
                <w:p w:rsidR="00471EE5" w:rsidRPr="00471EE5" w:rsidRDefault="00471EE5" w:rsidP="00471EE5">
                  <w:pPr>
                    <w:spacing w:before="100" w:beforeAutospacing="1" w:after="100" w:afterAutospacing="1" w:line="240" w:lineRule="auto"/>
                    <w:jc w:val="center"/>
                    <w:rPr>
                      <w:rFonts w:ascii="Arial" w:eastAsia="Times New Roman" w:hAnsi="Arial" w:cs="Arial"/>
                      <w:b/>
                      <w:color w:val="000080"/>
                      <w:sz w:val="18"/>
                      <w:szCs w:val="18"/>
                      <w:lang w:eastAsia="tr-TR"/>
                    </w:rPr>
                  </w:pPr>
                  <w:r w:rsidRPr="00471EE5">
                    <w:rPr>
                      <w:rFonts w:ascii="Arial" w:eastAsia="Times New Roman" w:hAnsi="Arial" w:cs="Arial"/>
                      <w:b/>
                      <w:color w:val="000080"/>
                      <w:sz w:val="18"/>
                      <w:szCs w:val="18"/>
                      <w:lang w:eastAsia="tr-TR"/>
                    </w:rPr>
                    <w:t>YÖNETMELİK</w:t>
                  </w:r>
                </w:p>
              </w:tc>
            </w:tr>
            <w:tr w:rsidR="00471EE5" w:rsidRPr="00471EE5">
              <w:trPr>
                <w:trHeight w:val="480"/>
                <w:jc w:val="center"/>
              </w:trPr>
              <w:tc>
                <w:tcPr>
                  <w:tcW w:w="8789" w:type="dxa"/>
                  <w:gridSpan w:val="3"/>
                  <w:vAlign w:val="center"/>
                </w:tcPr>
                <w:p w:rsidR="00471EE5" w:rsidRPr="00471EE5" w:rsidRDefault="00471EE5" w:rsidP="00471EE5">
                  <w:pPr>
                    <w:tabs>
                      <w:tab w:val="left" w:pos="566"/>
                    </w:tabs>
                    <w:spacing w:after="0" w:line="240" w:lineRule="exact"/>
                    <w:ind w:firstLine="566"/>
                    <w:rPr>
                      <w:rFonts w:ascii="Times New Roman" w:eastAsia="ヒラギノ明朝 Pro W3" w:hAnsi="Times" w:cs="Times New Roman"/>
                      <w:sz w:val="18"/>
                      <w:szCs w:val="18"/>
                      <w:u w:val="single"/>
                    </w:rPr>
                  </w:pPr>
                  <w:r w:rsidRPr="00471EE5">
                    <w:rPr>
                      <w:rFonts w:ascii="Times New Roman" w:eastAsia="ヒラギノ明朝 Pro W3" w:hAnsi="Times" w:cs="Times New Roman"/>
                      <w:sz w:val="18"/>
                      <w:szCs w:val="18"/>
                      <w:u w:val="single"/>
                    </w:rPr>
                    <w:t>G</w:t>
                  </w:r>
                  <w:r w:rsidRPr="00471EE5">
                    <w:rPr>
                      <w:rFonts w:ascii="Times New Roman" w:eastAsia="ヒラギノ明朝 Pro W3" w:hAnsi="Times" w:cs="Times New Roman"/>
                      <w:sz w:val="18"/>
                      <w:szCs w:val="18"/>
                      <w:u w:val="single"/>
                    </w:rPr>
                    <w:t>ü</w:t>
                  </w:r>
                  <w:r w:rsidRPr="00471EE5">
                    <w:rPr>
                      <w:rFonts w:ascii="Times New Roman" w:eastAsia="ヒラギノ明朝 Pro W3" w:hAnsi="Times" w:cs="Times New Roman"/>
                      <w:sz w:val="18"/>
                      <w:szCs w:val="18"/>
                      <w:u w:val="single"/>
                    </w:rPr>
                    <w:t>mr</w:t>
                  </w:r>
                  <w:r w:rsidRPr="00471EE5">
                    <w:rPr>
                      <w:rFonts w:ascii="Times New Roman" w:eastAsia="ヒラギノ明朝 Pro W3" w:hAnsi="Times" w:cs="Times New Roman"/>
                      <w:sz w:val="18"/>
                      <w:szCs w:val="18"/>
                      <w:u w:val="single"/>
                    </w:rPr>
                    <w:t>ü</w:t>
                  </w:r>
                  <w:r w:rsidRPr="00471EE5">
                    <w:rPr>
                      <w:rFonts w:ascii="Times New Roman" w:eastAsia="ヒラギノ明朝 Pro W3" w:hAnsi="Times" w:cs="Times New Roman"/>
                      <w:sz w:val="18"/>
                      <w:szCs w:val="18"/>
                      <w:u w:val="single"/>
                    </w:rPr>
                    <w:t>k ve Ticaret Bakanl</w:t>
                  </w:r>
                  <w:r w:rsidRPr="00471EE5">
                    <w:rPr>
                      <w:rFonts w:ascii="Times New Roman" w:eastAsia="ヒラギノ明朝 Pro W3" w:hAnsi="Times" w:cs="Times New Roman"/>
                      <w:sz w:val="18"/>
                      <w:szCs w:val="18"/>
                      <w:u w:val="single"/>
                    </w:rPr>
                    <w:t>ığı</w:t>
                  </w:r>
                  <w:r w:rsidRPr="00471EE5">
                    <w:rPr>
                      <w:rFonts w:ascii="Times New Roman" w:eastAsia="ヒラギノ明朝 Pro W3" w:hAnsi="Times" w:cs="Times New Roman"/>
                      <w:sz w:val="18"/>
                      <w:szCs w:val="18"/>
                      <w:u w:val="single"/>
                    </w:rPr>
                    <w:t>ndan:</w:t>
                  </w:r>
                </w:p>
                <w:p w:rsidR="00471EE5" w:rsidRPr="00471EE5" w:rsidRDefault="00471EE5" w:rsidP="00471EE5">
                  <w:pPr>
                    <w:spacing w:before="56" w:after="0" w:line="240" w:lineRule="exact"/>
                    <w:jc w:val="center"/>
                    <w:rPr>
                      <w:rFonts w:ascii="Times New Roman" w:eastAsia="ヒラギノ明朝 Pro W3" w:hAnsi="Times" w:cs="Times New Roman"/>
                      <w:b/>
                      <w:sz w:val="18"/>
                      <w:szCs w:val="18"/>
                    </w:rPr>
                  </w:pPr>
                  <w:r w:rsidRPr="00471EE5">
                    <w:rPr>
                      <w:rFonts w:ascii="Times New Roman" w:eastAsia="ヒラギノ明朝 Pro W3" w:hAnsi="Times" w:cs="Times New Roman"/>
                      <w:b/>
                      <w:sz w:val="18"/>
                      <w:szCs w:val="18"/>
                    </w:rPr>
                    <w:t>G</w:t>
                  </w:r>
                  <w:r w:rsidRPr="00471EE5">
                    <w:rPr>
                      <w:rFonts w:ascii="Times New Roman" w:eastAsia="ヒラギノ明朝 Pro W3" w:hAnsi="Times" w:cs="Times New Roman"/>
                      <w:b/>
                      <w:sz w:val="18"/>
                      <w:szCs w:val="18"/>
                    </w:rPr>
                    <w:t>Ü</w:t>
                  </w:r>
                  <w:r w:rsidRPr="00471EE5">
                    <w:rPr>
                      <w:rFonts w:ascii="Times New Roman" w:eastAsia="ヒラギノ明朝 Pro W3" w:hAnsi="Times" w:cs="Times New Roman"/>
                      <w:b/>
                      <w:sz w:val="18"/>
                      <w:szCs w:val="18"/>
                    </w:rPr>
                    <w:t>MR</w:t>
                  </w:r>
                  <w:r w:rsidRPr="00471EE5">
                    <w:rPr>
                      <w:rFonts w:ascii="Times New Roman" w:eastAsia="ヒラギノ明朝 Pro W3" w:hAnsi="Times" w:cs="Times New Roman"/>
                      <w:b/>
                      <w:sz w:val="18"/>
                      <w:szCs w:val="18"/>
                    </w:rPr>
                    <w:t>Ü</w:t>
                  </w:r>
                  <w:r w:rsidRPr="00471EE5">
                    <w:rPr>
                      <w:rFonts w:ascii="Times New Roman" w:eastAsia="ヒラギノ明朝 Pro W3" w:hAnsi="Times" w:cs="Times New Roman"/>
                      <w:b/>
                      <w:sz w:val="18"/>
                      <w:szCs w:val="18"/>
                    </w:rPr>
                    <w:t>K Y</w:t>
                  </w:r>
                  <w:r w:rsidRPr="00471EE5">
                    <w:rPr>
                      <w:rFonts w:ascii="Times New Roman" w:eastAsia="ヒラギノ明朝 Pro W3" w:hAnsi="Times" w:cs="Times New Roman"/>
                      <w:b/>
                      <w:sz w:val="18"/>
                      <w:szCs w:val="18"/>
                    </w:rPr>
                    <w:t>Ö</w:t>
                  </w:r>
                  <w:r w:rsidRPr="00471EE5">
                    <w:rPr>
                      <w:rFonts w:ascii="Times New Roman" w:eastAsia="ヒラギノ明朝 Pro W3" w:hAnsi="Times" w:cs="Times New Roman"/>
                      <w:b/>
                      <w:sz w:val="18"/>
                      <w:szCs w:val="18"/>
                    </w:rPr>
                    <w:t>NETMEL</w:t>
                  </w:r>
                  <w:r w:rsidRPr="00471EE5">
                    <w:rPr>
                      <w:rFonts w:ascii="Times New Roman" w:eastAsia="ヒラギノ明朝 Pro W3" w:hAnsi="Times" w:cs="Times New Roman"/>
                      <w:b/>
                      <w:sz w:val="18"/>
                      <w:szCs w:val="18"/>
                    </w:rPr>
                    <w:t>İĞİ</w:t>
                  </w:r>
                  <w:r w:rsidRPr="00471EE5">
                    <w:rPr>
                      <w:rFonts w:ascii="Times New Roman" w:eastAsia="ヒラギノ明朝 Pro W3" w:hAnsi="Times" w:cs="Times New Roman"/>
                      <w:b/>
                      <w:sz w:val="18"/>
                      <w:szCs w:val="18"/>
                    </w:rPr>
                    <w:t>NDE DE</w:t>
                  </w:r>
                  <w:r w:rsidRPr="00471EE5">
                    <w:rPr>
                      <w:rFonts w:ascii="Times New Roman" w:eastAsia="ヒラギノ明朝 Pro W3" w:hAnsi="Times" w:cs="Times New Roman"/>
                      <w:b/>
                      <w:sz w:val="18"/>
                      <w:szCs w:val="18"/>
                    </w:rPr>
                    <w:t>ĞİŞİ</w:t>
                  </w:r>
                  <w:r w:rsidRPr="00471EE5">
                    <w:rPr>
                      <w:rFonts w:ascii="Times New Roman" w:eastAsia="ヒラギノ明朝 Pro W3" w:hAnsi="Times" w:cs="Times New Roman"/>
                      <w:b/>
                      <w:sz w:val="18"/>
                      <w:szCs w:val="18"/>
                    </w:rPr>
                    <w:t>KL</w:t>
                  </w:r>
                  <w:r w:rsidRPr="00471EE5">
                    <w:rPr>
                      <w:rFonts w:ascii="Times New Roman" w:eastAsia="ヒラギノ明朝 Pro W3" w:hAnsi="Times" w:cs="Times New Roman"/>
                      <w:b/>
                      <w:sz w:val="18"/>
                      <w:szCs w:val="18"/>
                    </w:rPr>
                    <w:t>İ</w:t>
                  </w:r>
                  <w:r w:rsidRPr="00471EE5">
                    <w:rPr>
                      <w:rFonts w:ascii="Times New Roman" w:eastAsia="ヒラギノ明朝 Pro W3" w:hAnsi="Times" w:cs="Times New Roman"/>
                      <w:b/>
                      <w:sz w:val="18"/>
                      <w:szCs w:val="18"/>
                    </w:rPr>
                    <w:t>K YAPILMASINA</w:t>
                  </w:r>
                </w:p>
                <w:p w:rsidR="00471EE5" w:rsidRPr="00471EE5" w:rsidRDefault="00471EE5" w:rsidP="00471EE5">
                  <w:pPr>
                    <w:spacing w:after="170" w:line="240" w:lineRule="exact"/>
                    <w:jc w:val="center"/>
                    <w:rPr>
                      <w:rFonts w:ascii="Times New Roman" w:eastAsia="ヒラギノ明朝 Pro W3" w:hAnsi="Times" w:cs="Times New Roman"/>
                      <w:b/>
                      <w:sz w:val="18"/>
                      <w:szCs w:val="18"/>
                    </w:rPr>
                  </w:pPr>
                  <w:r w:rsidRPr="00471EE5">
                    <w:rPr>
                      <w:rFonts w:ascii="Times New Roman" w:eastAsia="ヒラギノ明朝 Pro W3" w:hAnsi="Times" w:cs="Times New Roman"/>
                      <w:b/>
                      <w:sz w:val="18"/>
                      <w:szCs w:val="18"/>
                    </w:rPr>
                    <w:t>DA</w:t>
                  </w:r>
                  <w:r w:rsidRPr="00471EE5">
                    <w:rPr>
                      <w:rFonts w:ascii="Times New Roman" w:eastAsia="ヒラギノ明朝 Pro W3" w:hAnsi="Times" w:cs="Times New Roman"/>
                      <w:b/>
                      <w:sz w:val="18"/>
                      <w:szCs w:val="18"/>
                    </w:rPr>
                    <w:t>İ</w:t>
                  </w:r>
                  <w:r w:rsidRPr="00471EE5">
                    <w:rPr>
                      <w:rFonts w:ascii="Times New Roman" w:eastAsia="ヒラギノ明朝 Pro W3" w:hAnsi="Times" w:cs="Times New Roman"/>
                      <w:b/>
                      <w:sz w:val="18"/>
                      <w:szCs w:val="18"/>
                    </w:rPr>
                    <w:t>R Y</w:t>
                  </w:r>
                  <w:r w:rsidRPr="00471EE5">
                    <w:rPr>
                      <w:rFonts w:ascii="Times New Roman" w:eastAsia="ヒラギノ明朝 Pro W3" w:hAnsi="Times" w:cs="Times New Roman"/>
                      <w:b/>
                      <w:sz w:val="18"/>
                      <w:szCs w:val="18"/>
                    </w:rPr>
                    <w:t>Ö</w:t>
                  </w:r>
                  <w:r w:rsidRPr="00471EE5">
                    <w:rPr>
                      <w:rFonts w:ascii="Times New Roman" w:eastAsia="ヒラギノ明朝 Pro W3" w:hAnsi="Times" w:cs="Times New Roman"/>
                      <w:b/>
                      <w:sz w:val="18"/>
                      <w:szCs w:val="18"/>
                    </w:rPr>
                    <w:t>NETMEL</w:t>
                  </w:r>
                  <w:r w:rsidRPr="00471EE5">
                    <w:rPr>
                      <w:rFonts w:ascii="Times New Roman" w:eastAsia="ヒラギノ明朝 Pro W3" w:hAnsi="Times" w:cs="Times New Roman"/>
                      <w:b/>
                      <w:sz w:val="18"/>
                      <w:szCs w:val="18"/>
                    </w:rPr>
                    <w:t>İ</w:t>
                  </w:r>
                  <w:r w:rsidRPr="00471EE5">
                    <w:rPr>
                      <w:rFonts w:ascii="Times New Roman" w:eastAsia="ヒラギノ明朝 Pro W3" w:hAnsi="Times" w:cs="Times New Roman"/>
                      <w:b/>
                      <w:sz w:val="18"/>
                      <w:szCs w:val="18"/>
                    </w:rPr>
                    <w:t>K</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bCs/>
                      <w:sz w:val="18"/>
                      <w:szCs w:val="18"/>
                    </w:rPr>
                    <w:t>MADDE 1 –</w:t>
                  </w:r>
                  <w:r w:rsidRPr="00471EE5">
                    <w:rPr>
                      <w:rFonts w:ascii="Times New Roman" w:eastAsia="Times New Roman" w:hAnsi="Times New Roman" w:cs="Times New Roman"/>
                      <w:sz w:val="18"/>
                      <w:szCs w:val="18"/>
                    </w:rPr>
                    <w:t xml:space="preserve"> </w:t>
                  </w:r>
                  <w:proofErr w:type="gramStart"/>
                  <w:r w:rsidRPr="00471EE5">
                    <w:rPr>
                      <w:rFonts w:ascii="Times New Roman" w:eastAsia="Times New Roman" w:hAnsi="Times New Roman" w:cs="Times New Roman"/>
                      <w:sz w:val="18"/>
                      <w:szCs w:val="18"/>
                    </w:rPr>
                    <w:t>7/10/2009</w:t>
                  </w:r>
                  <w:proofErr w:type="gramEnd"/>
                  <w:r w:rsidRPr="00471EE5">
                    <w:rPr>
                      <w:rFonts w:ascii="Times New Roman" w:eastAsia="Times New Roman" w:hAnsi="Times New Roman" w:cs="Times New Roman"/>
                      <w:sz w:val="18"/>
                      <w:szCs w:val="18"/>
                    </w:rPr>
                    <w:t xml:space="preserve"> tarihli ve 27369 mükerrer sayılı Resmî Gazete’de yayımlanan Gümrük Yönetmeliğinin 61 inci maddesinin birinci fıkrasına aşağıdaki (k) bendi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“k) Kanunun 167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birinci fıkrasının </w:t>
                  </w:r>
                  <w:proofErr w:type="spellStart"/>
                  <w:r w:rsidRPr="00471EE5">
                    <w:rPr>
                      <w:rFonts w:ascii="Times New Roman" w:eastAsia="Times New Roman" w:hAnsi="Times New Roman" w:cs="Times New Roman"/>
                      <w:sz w:val="18"/>
                      <w:szCs w:val="18"/>
                    </w:rPr>
                    <w:t>onbirinci</w:t>
                  </w:r>
                  <w:proofErr w:type="spellEnd"/>
                  <w:r w:rsidRPr="00471EE5">
                    <w:rPr>
                      <w:rFonts w:ascii="Times New Roman" w:eastAsia="Times New Roman" w:hAnsi="Times New Roman" w:cs="Times New Roman"/>
                      <w:sz w:val="18"/>
                      <w:szCs w:val="18"/>
                    </w:rPr>
                    <w:t xml:space="preserve"> bendi kapsamı cenazeler.”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 –</w:t>
                  </w:r>
                  <w:r w:rsidRPr="00471EE5">
                    <w:rPr>
                      <w:rFonts w:ascii="Times New Roman" w:eastAsia="Times New Roman" w:hAnsi="Times New Roman" w:cs="Times New Roman"/>
                      <w:sz w:val="18"/>
                      <w:szCs w:val="18"/>
                    </w:rPr>
                    <w:t xml:space="preserve"> Aynı Yönetmeliğin 72/Ş maddesinin birinci fıkrasının (f) bendi aşağıdaki şekilde yeniden düzenlenmiştir.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“f) Gümrük idaresince bilgisayar veri işleme tekniği yoluyla iletilen veri, mesaj ve talimatların gereğinin yerine getirilmesini,”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3 –</w:t>
                  </w:r>
                  <w:r w:rsidRPr="00471EE5">
                    <w:rPr>
                      <w:rFonts w:ascii="Times New Roman" w:eastAsia="Times New Roman" w:hAnsi="Times New Roman" w:cs="Times New Roman"/>
                      <w:sz w:val="18"/>
                      <w:szCs w:val="18"/>
                    </w:rPr>
                    <w:t xml:space="preserve"> Aynı Yönetmeliğin 78 inci maddesine aşağıdaki dördüncü fıkra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“(4) Türkiye Gümrük Bölgesine denizyolu ile getirilen dolu </w:t>
                  </w:r>
                  <w:proofErr w:type="spellStart"/>
                  <w:r w:rsidRPr="00471EE5">
                    <w:rPr>
                      <w:rFonts w:ascii="Times New Roman" w:eastAsia="Times New Roman" w:hAnsi="Times New Roman" w:cs="Times New Roman"/>
                      <w:sz w:val="18"/>
                      <w:szCs w:val="18"/>
                    </w:rPr>
                    <w:t>konteynerlerin</w:t>
                  </w:r>
                  <w:proofErr w:type="spellEnd"/>
                  <w:r w:rsidRPr="00471EE5">
                    <w:rPr>
                      <w:rFonts w:ascii="Times New Roman" w:eastAsia="Times New Roman" w:hAnsi="Times New Roman" w:cs="Times New Roman"/>
                      <w:sz w:val="18"/>
                      <w:szCs w:val="18"/>
                    </w:rPr>
                    <w:t>, denize iskele bağlantısı olmayan geçici depolama yerlerine alınmasına, Bakanlıkça belirlenecek zorunlu haller dışında izin verilmez.”</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4 –</w:t>
                  </w:r>
                  <w:r w:rsidRPr="00471EE5">
                    <w:rPr>
                      <w:rFonts w:ascii="Times New Roman" w:eastAsia="Times New Roman" w:hAnsi="Times New Roman" w:cs="Times New Roman"/>
                      <w:sz w:val="18"/>
                      <w:szCs w:val="18"/>
                    </w:rPr>
                    <w:t xml:space="preserve"> Aynı Yönetmeliğin 114 üncü maddesinin üçüncü fıkrasından sonra gelmek üzere aşağıdaki dördüncü fıkra eklenmiş ve fıkra numaraları buna göre teselsül ettirilmiş; aynı maddenin mevcut beş ila yedinci fıkraları aşağıdaki şekilde değiştirilmiştir.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“(4) Hareket idaresince belge kontrolüne veya eşya muayenesine karar verildiği durumlar hariç, izinli gönderici yetkisine sahip kişilerin bu taşıma işlemleri için düzenledikleri transit beyannamelerine ilişkin belgeler beyannamenin 44 no.lu kutusuna kaydedilmek kaydıyla beyannameye eklenmez ve söz konusu beyannameler gümrük idaresince </w:t>
                  </w:r>
                  <w:proofErr w:type="gramStart"/>
                  <w:r w:rsidRPr="00471EE5">
                    <w:rPr>
                      <w:rFonts w:ascii="Times New Roman" w:eastAsia="Times New Roman" w:hAnsi="Times New Roman" w:cs="Times New Roman"/>
                      <w:sz w:val="18"/>
                      <w:szCs w:val="18"/>
                    </w:rPr>
                    <w:t>kağıt</w:t>
                  </w:r>
                  <w:proofErr w:type="gramEnd"/>
                  <w:r w:rsidRPr="00471EE5">
                    <w:rPr>
                      <w:rFonts w:ascii="Times New Roman" w:eastAsia="Times New Roman" w:hAnsi="Times New Roman" w:cs="Times New Roman"/>
                      <w:sz w:val="18"/>
                      <w:szCs w:val="18"/>
                    </w:rPr>
                    <w:t xml:space="preserve"> ortamında aranmaz.”</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“(6) Üçüncü ve dördüncü fıkrada belirtilen beyannameler dışındaki gümrük beyannamelerine herhangi bir belge eklenmemesine ilişkin düzenleme yapmaya Bakanlık yetkilidir.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(7) Gümrük işlemleri sırasında belge aslının aranmadığı durumlarda belge örnekleri üzerinde işlemler sonlandırılır. Belge asılları ikinci fıkra kapsamında muhafaza edilir.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(8) Bu maddenin üçüncü ve dördüncü fıkrası uyarınca beyannameye eklenmeyen belgeler dâhil ithalat, ihracat ve transit işlemlerine ilişkin gümrük beyannameleri ve ekleri, beyanın bağlayıcılığı çerçevesinde her bir beyanname itibariyle, sonradan yapılacak kontrollere imkân sağlayacak şekilde Kanunun 13 üncü maddesi çerçevesinde saklanır.”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5 –</w:t>
                  </w:r>
                  <w:r w:rsidRPr="00471EE5">
                    <w:rPr>
                      <w:rFonts w:ascii="Times New Roman" w:eastAsia="Times New Roman" w:hAnsi="Times New Roman" w:cs="Times New Roman"/>
                      <w:sz w:val="18"/>
                      <w:szCs w:val="18"/>
                    </w:rPr>
                    <w:t xml:space="preserve"> Aynı Yönetmeliğin 197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birinci fıkrasının son cümlesinde yer alan ‘‘eşyanın tahlil masrafları’’ ibaresinden sonra gelmek üzere “, idarece temin edilen numune kaplarının bedeli’’ ibaresi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6 –</w:t>
                  </w:r>
                  <w:r w:rsidRPr="00471EE5">
                    <w:rPr>
                      <w:rFonts w:ascii="Times New Roman" w:eastAsia="Times New Roman" w:hAnsi="Times New Roman" w:cs="Times New Roman"/>
                      <w:sz w:val="18"/>
                      <w:szCs w:val="18"/>
                    </w:rPr>
                    <w:t xml:space="preserve"> Aynı Yönetmeliğin 207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ikinci fıkrasının (c) bendinden sonra yer alan ifade aşağıdaki şekilde değiştirilmiş ve dördüncü fıkrasının son cümlesinden sonra gelmek üzere aşağıdaki cümle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"hallerinde, bu eşyanın tabi olduğu gümrük vergisinin uygulanabilecek vergi ile aynı veya yüksek olması durumunda söz konusu eşyaya 89.08 tarife pozisyonunda yer alan ‘sökülecek gemilerle, suda yüzen sökülecek diğer araçlar’ hariç nihai kullanım hükümleri uygulanmaz."</w:t>
                  </w:r>
                </w:p>
                <w:p w:rsidR="00471EE5" w:rsidRPr="00471EE5" w:rsidRDefault="00471EE5" w:rsidP="00471EE5">
                  <w:pPr>
                    <w:tabs>
                      <w:tab w:val="left" w:pos="566"/>
                    </w:tabs>
                    <w:spacing w:after="0" w:line="240" w:lineRule="exact"/>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“İzin belgesinde öngörülen sürenin sona ermesinden itibaren otuz gün içinde izni veren gümrük idaresine herhangi bir müracaatta bulunulmaması halinde, eşyaya ilişkin olarak alınan teminata 6183 sayılı Kanunun 56 </w:t>
                  </w:r>
                  <w:proofErr w:type="spellStart"/>
                  <w:r w:rsidRPr="00471EE5">
                    <w:rPr>
                      <w:rFonts w:ascii="Times New Roman" w:eastAsia="Times New Roman" w:hAnsi="Times New Roman" w:cs="Times New Roman"/>
                      <w:sz w:val="18"/>
                      <w:szCs w:val="18"/>
                    </w:rPr>
                    <w:t>ncı</w:t>
                  </w:r>
                  <w:proofErr w:type="spellEnd"/>
                  <w:r w:rsidRPr="00471EE5">
                    <w:rPr>
                      <w:rFonts w:ascii="Times New Roman" w:eastAsia="Times New Roman" w:hAnsi="Times New Roman" w:cs="Times New Roman"/>
                      <w:sz w:val="18"/>
                      <w:szCs w:val="18"/>
                    </w:rPr>
                    <w:t xml:space="preserve"> maddesi çerçevesinde işlem yapılır.”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7 –</w:t>
                  </w:r>
                  <w:r w:rsidRPr="00471EE5">
                    <w:rPr>
                      <w:rFonts w:ascii="Times New Roman" w:eastAsia="Times New Roman" w:hAnsi="Times New Roman" w:cs="Times New Roman"/>
                      <w:sz w:val="18"/>
                      <w:szCs w:val="18"/>
                    </w:rPr>
                    <w:t xml:space="preserve"> Aynı Yönetmeliğin 236 </w:t>
                  </w:r>
                  <w:proofErr w:type="spellStart"/>
                  <w:r w:rsidRPr="00471EE5">
                    <w:rPr>
                      <w:rFonts w:ascii="Times New Roman" w:eastAsia="Times New Roman" w:hAnsi="Times New Roman" w:cs="Times New Roman"/>
                      <w:sz w:val="18"/>
                      <w:szCs w:val="18"/>
                    </w:rPr>
                    <w:t>ncı</w:t>
                  </w:r>
                  <w:proofErr w:type="spellEnd"/>
                  <w:r w:rsidRPr="00471EE5">
                    <w:rPr>
                      <w:rFonts w:ascii="Times New Roman" w:eastAsia="Times New Roman" w:hAnsi="Times New Roman" w:cs="Times New Roman"/>
                      <w:sz w:val="18"/>
                      <w:szCs w:val="18"/>
                    </w:rPr>
                    <w:t xml:space="preserve"> maddesine aşağıdaki dokuzuncu fıkra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“(9) İzinli gönderici yetkisine sahip kişilerin taşıma işlemlerinde düzenledikleri transit beyanları için hareket idaresince teminat kontrolü yapılmaz. Bu durumda teminatın doğruluğuna ilişkin sorumluluk izinli gönderici yetkisine sahip asıl sorumlulara aittir.”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8 –</w:t>
                  </w:r>
                  <w:r w:rsidRPr="00471EE5">
                    <w:rPr>
                      <w:rFonts w:ascii="Times New Roman" w:eastAsia="Times New Roman" w:hAnsi="Times New Roman" w:cs="Times New Roman"/>
                      <w:sz w:val="18"/>
                      <w:szCs w:val="18"/>
                    </w:rPr>
                    <w:t xml:space="preserve"> Aynı Yönetmeliğin 249 uncu maddesine aşağıdaki üçüncü fıkra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“(3) Dökme eşyada ortaya çıkan eksikliğin eşyanın tabiatı icabı, ek-11’de yer alan oranlarda olduğunun anlaşılması halinde, eksiklik takibatı yapılmayarak işlemler varış idaresince tespit edilen miktar üzerinden sonuçlandırılır. Eksiklikten dolayı takibatın gerektiği durumlarda takibat ve varsa gümrük vergilerinin tahsili, eksikliğin tamamı için değil, ek-11’de belirtilen oranları aşan kısım için uygulanır.”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9 –</w:t>
                  </w:r>
                  <w:r w:rsidRPr="00471EE5">
                    <w:rPr>
                      <w:rFonts w:ascii="Times New Roman" w:eastAsia="Times New Roman" w:hAnsi="Times New Roman" w:cs="Times New Roman"/>
                      <w:sz w:val="18"/>
                      <w:szCs w:val="18"/>
                    </w:rPr>
                    <w:t xml:space="preserve"> Aynı Yönetmeliğin 435 inci maddesine aşağıdaki yedinci fıkra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“(7) Türkiye Gümrük Bölgesine havayoluyla getirilen ve 63 üncü madde hükümlerine göre özet beyanı verilen eşyanın, varış yeri ile alıcısının değişmemesi koşuluyla, gümrüğe sunulduğu tarihten itibaren on dört gün içinde, boşaltıldığı havalimanından havayoluyla tekrar Türkiye Gümrük Bölgesi dışına çıkışında özet beyan aranmaz."</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10-</w:t>
                  </w:r>
                  <w:r w:rsidRPr="00471EE5">
                    <w:rPr>
                      <w:rFonts w:ascii="Times New Roman" w:eastAsia="Times New Roman" w:hAnsi="Times New Roman" w:cs="Times New Roman"/>
                      <w:sz w:val="18"/>
                      <w:szCs w:val="18"/>
                    </w:rPr>
                    <w:t xml:space="preserve"> Aynı Yönetmeliğin 438 inci maddesinin birinci fıkrasının (c) bendi aşağıdaki şekilde değiştirilmiştir.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“c) Yabancı devletlerin Türkiye’deki diplomatik temsilciliklerinde ve konsolosluklarında görevli </w:t>
                  </w:r>
                  <w:proofErr w:type="gramStart"/>
                  <w:r w:rsidRPr="00471EE5">
                    <w:rPr>
                      <w:rFonts w:ascii="Times New Roman" w:eastAsia="Times New Roman" w:hAnsi="Times New Roman" w:cs="Times New Roman"/>
                      <w:sz w:val="18"/>
                      <w:szCs w:val="18"/>
                    </w:rPr>
                    <w:t>misyon</w:t>
                  </w:r>
                  <w:proofErr w:type="gramEnd"/>
                  <w:r w:rsidRPr="00471EE5">
                    <w:rPr>
                      <w:rFonts w:ascii="Times New Roman" w:eastAsia="Times New Roman" w:hAnsi="Times New Roman" w:cs="Times New Roman"/>
                      <w:sz w:val="18"/>
                      <w:szCs w:val="18"/>
                    </w:rPr>
                    <w:t xml:space="preserve"> </w:t>
                  </w:r>
                  <w:r w:rsidRPr="00471EE5">
                    <w:rPr>
                      <w:rFonts w:ascii="Times New Roman" w:eastAsia="Times New Roman" w:hAnsi="Times New Roman" w:cs="Times New Roman"/>
                      <w:sz w:val="18"/>
                      <w:szCs w:val="18"/>
                    </w:rPr>
                    <w:lastRenderedPageBreak/>
                    <w:t>şefleri, diplomatik memurlar, meslekten konsolosluk memurları ile idari ve teknik personel ve milletlerarası resmi kuruluşların Türkiye’de ikamet eden misyon şefleri,  diplomatik memurları ile idari ve teknik personeli,”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11 –</w:t>
                  </w:r>
                  <w:r w:rsidRPr="00471EE5">
                    <w:rPr>
                      <w:rFonts w:ascii="Times New Roman" w:eastAsia="Times New Roman" w:hAnsi="Times New Roman" w:cs="Times New Roman"/>
                      <w:sz w:val="18"/>
                      <w:szCs w:val="18"/>
                    </w:rPr>
                    <w:t xml:space="preserve"> Aynı Yönetmeliğin 440 </w:t>
                  </w:r>
                  <w:proofErr w:type="spellStart"/>
                  <w:r w:rsidRPr="00471EE5">
                    <w:rPr>
                      <w:rFonts w:ascii="Times New Roman" w:eastAsia="Times New Roman" w:hAnsi="Times New Roman" w:cs="Times New Roman"/>
                      <w:sz w:val="18"/>
                      <w:szCs w:val="18"/>
                    </w:rPr>
                    <w:t>ıncı</w:t>
                  </w:r>
                  <w:proofErr w:type="spellEnd"/>
                  <w:r w:rsidRPr="00471EE5">
                    <w:rPr>
                      <w:rFonts w:ascii="Times New Roman" w:eastAsia="Times New Roman" w:hAnsi="Times New Roman" w:cs="Times New Roman"/>
                      <w:sz w:val="18"/>
                      <w:szCs w:val="18"/>
                    </w:rPr>
                    <w:t xml:space="preserve"> maddesi aşağıdaki şekilde değiştirilmiştir.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w:t>
                  </w:r>
                  <w:r w:rsidRPr="00471EE5">
                    <w:rPr>
                      <w:rFonts w:ascii="Times New Roman" w:eastAsia="Times New Roman" w:hAnsi="Times New Roman" w:cs="Times New Roman"/>
                      <w:b/>
                      <w:sz w:val="18"/>
                      <w:szCs w:val="18"/>
                    </w:rPr>
                    <w:t>MADDE 440 –</w:t>
                  </w:r>
                  <w:r w:rsidRPr="00471EE5">
                    <w:rPr>
                      <w:rFonts w:ascii="Times New Roman" w:eastAsia="Times New Roman" w:hAnsi="Times New Roman" w:cs="Times New Roman"/>
                      <w:sz w:val="18"/>
                      <w:szCs w:val="18"/>
                    </w:rPr>
                    <w:t xml:space="preserve"> (1) Diplomatik muafiyetten yararlanan;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a) Yabancı devlet başkanları ve aile fertleriyle refakatlerine memur olanların,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b) Diplomatik pasaportu haiz olmak kaydıyla resmi bir ziyaret veya görev ile Türkiye’ye gelen delegelerle, sivil ve askeri heyetlerin,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c) Yabancı devletlerin Türkiye’deki diplomatik temsilciliklerinde ve konsolosluklarında görevli </w:t>
                  </w:r>
                  <w:proofErr w:type="gramStart"/>
                  <w:r w:rsidRPr="00471EE5">
                    <w:rPr>
                      <w:rFonts w:ascii="Times New Roman" w:eastAsia="Times New Roman" w:hAnsi="Times New Roman" w:cs="Times New Roman"/>
                      <w:sz w:val="18"/>
                      <w:szCs w:val="18"/>
                    </w:rPr>
                    <w:t>misyon</w:t>
                  </w:r>
                  <w:proofErr w:type="gramEnd"/>
                  <w:r w:rsidRPr="00471EE5">
                    <w:rPr>
                      <w:rFonts w:ascii="Times New Roman" w:eastAsia="Times New Roman" w:hAnsi="Times New Roman" w:cs="Times New Roman"/>
                      <w:sz w:val="18"/>
                      <w:szCs w:val="18"/>
                    </w:rPr>
                    <w:t xml:space="preserve"> şefleri ile diplomasi memurları ve meslekten konsolosluk memurlarının,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ç) Milletlerarası resmi kuruluşların Türkiye’de ikamet eden </w:t>
                  </w:r>
                  <w:proofErr w:type="gramStart"/>
                  <w:r w:rsidRPr="00471EE5">
                    <w:rPr>
                      <w:rFonts w:ascii="Times New Roman" w:eastAsia="Times New Roman" w:hAnsi="Times New Roman" w:cs="Times New Roman"/>
                      <w:sz w:val="18"/>
                      <w:szCs w:val="18"/>
                    </w:rPr>
                    <w:t>misyon</w:t>
                  </w:r>
                  <w:proofErr w:type="gramEnd"/>
                  <w:r w:rsidRPr="00471EE5">
                    <w:rPr>
                      <w:rFonts w:ascii="Times New Roman" w:eastAsia="Times New Roman" w:hAnsi="Times New Roman" w:cs="Times New Roman"/>
                      <w:sz w:val="18"/>
                      <w:szCs w:val="18"/>
                    </w:rPr>
                    <w:t xml:space="preserve"> şefleri, diplomatik memurları ile idari ve teknik personelinin,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d) Yabancı devletlerin Türkiye’deki diplomatik temsilciliklerinde ve konsolosluklarında görevli idari ve teknik personelin,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471EE5">
                    <w:rPr>
                      <w:rFonts w:ascii="Times New Roman" w:eastAsia="Times New Roman" w:hAnsi="Times New Roman" w:cs="Times New Roman"/>
                      <w:sz w:val="18"/>
                      <w:szCs w:val="18"/>
                    </w:rPr>
                    <w:t>beraberlerinde</w:t>
                  </w:r>
                  <w:proofErr w:type="gramEnd"/>
                  <w:r w:rsidRPr="00471EE5">
                    <w:rPr>
                      <w:rFonts w:ascii="Times New Roman" w:eastAsia="Times New Roman" w:hAnsi="Times New Roman" w:cs="Times New Roman"/>
                      <w:sz w:val="18"/>
                      <w:szCs w:val="18"/>
                    </w:rPr>
                    <w:t xml:space="preserve"> gelen kişisel eşya ve ev eşyası ile, görevlerinin yapılmasıyla ilgili her türlü eşya için, ilgililerinden hiç bir beyan aranılmaz ve bu eşya muayene edilmez.</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(2) Sözü edilenlerin kimlikleri pasaportlarının incelenmesinden anlaşılır ve kendilerine azami kolaylık ve nezaket gösterilir.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(3) Şüphe ve yazılı, açık adresli ve imzalı ihbar olmadıkça, bu eşya muayene edilmez.</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471EE5">
                    <w:rPr>
                      <w:rFonts w:ascii="Times New Roman" w:eastAsia="Times New Roman" w:hAnsi="Times New Roman" w:cs="Times New Roman"/>
                      <w:sz w:val="18"/>
                      <w:szCs w:val="18"/>
                    </w:rPr>
                    <w:t xml:space="preserve">(4) Birinci fıkrada yazılı kişilerin beraberlerinde gelmeyen eşyası ile resmi görevlerin yapılması ile ilgili ve elçilik, konsolosluk veya milletlerarası kuruluşlarda kullanılacak eşya ve elçilik, konsolosluk veya milletlerarası kuruluş binalarının inşaatında kullanılmak üzere getirilecek malzeme için ilgili elçiliklerce, konsolosluklarca veya milletlerarası kuruluşlarca tanzim ve Dışişleri Bakanlığınca vize edilmiş ‘Mektup’lar beyanname olarak kabul olunur. </w:t>
                  </w:r>
                  <w:proofErr w:type="gramEnd"/>
                  <w:r w:rsidRPr="00471EE5">
                    <w:rPr>
                      <w:rFonts w:ascii="Times New Roman" w:eastAsia="Times New Roman" w:hAnsi="Times New Roman" w:cs="Times New Roman"/>
                      <w:sz w:val="18"/>
                      <w:szCs w:val="18"/>
                    </w:rPr>
                    <w:t>Aksi takdirde, bu eşyanın gümrük işlemleri gümrük beyannamesi ile yapılır.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(5) Birinci fıkrada sayılanlara ait taşıtlar ile elçilikler, konsolosluklar veya milletlerarası kuruluşlarda kullanılmak üzere getirilen taşıtların gümrük işlemleri, ilgili elçilik, konsolosluk, milletlerarası kuruluş veya muafiyet hakkı tanınmış </w:t>
                  </w:r>
                  <w:proofErr w:type="gramStart"/>
                  <w:r w:rsidRPr="00471EE5">
                    <w:rPr>
                      <w:rFonts w:ascii="Times New Roman" w:eastAsia="Times New Roman" w:hAnsi="Times New Roman" w:cs="Times New Roman"/>
                      <w:sz w:val="18"/>
                      <w:szCs w:val="18"/>
                    </w:rPr>
                    <w:t>misyon</w:t>
                  </w:r>
                  <w:proofErr w:type="gramEnd"/>
                  <w:r w:rsidRPr="00471EE5">
                    <w:rPr>
                      <w:rFonts w:ascii="Times New Roman" w:eastAsia="Times New Roman" w:hAnsi="Times New Roman" w:cs="Times New Roman"/>
                      <w:sz w:val="18"/>
                      <w:szCs w:val="18"/>
                    </w:rPr>
                    <w:t xml:space="preserve"> şeflikleri veya heyet başkanları tarafından tanzim ve Dışişleri Bakanlığınca vize edilmiş mektuplarla sonuçlandırılır.”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12 –</w:t>
                  </w:r>
                  <w:r w:rsidRPr="00471EE5">
                    <w:rPr>
                      <w:rFonts w:ascii="Times New Roman" w:eastAsia="Times New Roman" w:hAnsi="Times New Roman" w:cs="Times New Roman"/>
                      <w:sz w:val="18"/>
                      <w:szCs w:val="18"/>
                    </w:rPr>
                    <w:t xml:space="preserve"> Aynı Yönetmeliğin 518 inci maddesinin dördüncü fıkrası aşağıdaki şekilde değiştirilmiştir.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“(4) 17/6/2004 tarihli ve 25495 sayılı Resmî Gazete’de yayımlanan Petrol Piyasası Lisans Yönetmeliğinin 4 üncü maddesinde petrol ve akaryakıt olarak tanımlanan ve dökme olarak gelen eşyadan (sıvılaştırılmış petrol gazı </w:t>
                  </w:r>
                  <w:proofErr w:type="gramStart"/>
                  <w:r w:rsidRPr="00471EE5">
                    <w:rPr>
                      <w:rFonts w:ascii="Times New Roman" w:eastAsia="Times New Roman" w:hAnsi="Times New Roman" w:cs="Times New Roman"/>
                      <w:sz w:val="18"/>
                      <w:szCs w:val="18"/>
                    </w:rPr>
                    <w:t>dahil</w:t>
                  </w:r>
                  <w:proofErr w:type="gramEnd"/>
                  <w:r w:rsidRPr="00471EE5">
                    <w:rPr>
                      <w:rFonts w:ascii="Times New Roman" w:eastAsia="Times New Roman" w:hAnsi="Times New Roman" w:cs="Times New Roman"/>
                      <w:sz w:val="18"/>
                      <w:szCs w:val="18"/>
                    </w:rPr>
                    <w:t>), ham petrol ile yurtdışına transit edilecek eşya dışındakilerin depolanmasına yönelik akaryakıt antreposu açma ve işletme yatırım izin talepleri değerlendirmeye alınmaz. İkinci fıkrada belirtilen dilekçede, yatırım talebinin hangi kapsamdaki eşyanın depolanmasına yönelik olduğu belirtilir.”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13 –</w:t>
                  </w:r>
                  <w:r w:rsidRPr="00471EE5">
                    <w:rPr>
                      <w:rFonts w:ascii="Times New Roman" w:eastAsia="Times New Roman" w:hAnsi="Times New Roman" w:cs="Times New Roman"/>
                      <w:sz w:val="18"/>
                      <w:szCs w:val="18"/>
                    </w:rPr>
                    <w:t xml:space="preserve"> Aynı Yönetmeliğin 519 uncu maddenin üçüncü fıkrası aşağıdaki şekilde değiştirilmiştir.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“(3) Genel antrepo olarak açılıp işletilmesi istenen yerlerin açık ve/veya kapalı alanları toplamı büyükşehir belediyesi sınırları içerisinde 5.000 m²’den, diğer yerlerde ise 3.000 m²’den küçük olamaz. Soğuk hava tertibatı bulunan, havayolu ile kargo taşımacılığında kullanılan, yanıcı, parlayıcı, patlayıcı nitelikteki eşyanın konulduğu, havalimanı ve deniz limanı sahasında bulunan veya özel tertibat gerektiren eşyanın konulacağı antrepolar bu şarta tabi değildir.”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14 –</w:t>
                  </w:r>
                  <w:r w:rsidRPr="00471EE5">
                    <w:rPr>
                      <w:rFonts w:ascii="Times New Roman" w:eastAsia="Times New Roman" w:hAnsi="Times New Roman" w:cs="Times New Roman"/>
                      <w:sz w:val="18"/>
                      <w:szCs w:val="18"/>
                    </w:rPr>
                    <w:t xml:space="preserve"> Aynı Yönetmeliğin 525 inci maddesine aşağıdaki yedinci fıkra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“(7) Yapılacak denetleme neticesinde;</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a) Yetkilendirilmiş gümrük müşavirliği asgari ücret tarifesinin altında hizmet verilmesi sonucu yetkilendirilmiş gümrük müşavirinin belgesinin geri alınmasına karar verilmesi halinde bir ay süreyle,</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b) Yetkilendirilmiş gümrük müşaviri ile tespit işlemi yaptıran antrepo işleticisi arasında tespit işlemi haricinde doğrudan veya dolaylı iş ilişkisinin tespiti halinde üç ay süreyle,</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471EE5">
                    <w:rPr>
                      <w:rFonts w:ascii="Times New Roman" w:eastAsia="Times New Roman" w:hAnsi="Times New Roman" w:cs="Times New Roman"/>
                      <w:sz w:val="18"/>
                      <w:szCs w:val="18"/>
                    </w:rPr>
                    <w:t>ilgili</w:t>
                  </w:r>
                  <w:proofErr w:type="gramEnd"/>
                  <w:r w:rsidRPr="00471EE5">
                    <w:rPr>
                      <w:rFonts w:ascii="Times New Roman" w:eastAsia="Times New Roman" w:hAnsi="Times New Roman" w:cs="Times New Roman"/>
                      <w:sz w:val="18"/>
                      <w:szCs w:val="18"/>
                    </w:rPr>
                    <w:t xml:space="preserve"> antrepoya eşya alınmasına izin verilmez.”</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15 –</w:t>
                  </w:r>
                  <w:r w:rsidRPr="00471EE5">
                    <w:rPr>
                      <w:rFonts w:ascii="Times New Roman" w:eastAsia="Times New Roman" w:hAnsi="Times New Roman" w:cs="Times New Roman"/>
                      <w:sz w:val="18"/>
                      <w:szCs w:val="18"/>
                    </w:rPr>
                    <w:t xml:space="preserve"> Aynı Yönetmeliğin 526 </w:t>
                  </w:r>
                  <w:proofErr w:type="spellStart"/>
                  <w:r w:rsidRPr="00471EE5">
                    <w:rPr>
                      <w:rFonts w:ascii="Times New Roman" w:eastAsia="Times New Roman" w:hAnsi="Times New Roman" w:cs="Times New Roman"/>
                      <w:sz w:val="18"/>
                      <w:szCs w:val="18"/>
                    </w:rPr>
                    <w:t>ncı</w:t>
                  </w:r>
                  <w:proofErr w:type="spellEnd"/>
                  <w:r w:rsidRPr="00471EE5">
                    <w:rPr>
                      <w:rFonts w:ascii="Times New Roman" w:eastAsia="Times New Roman" w:hAnsi="Times New Roman" w:cs="Times New Roman"/>
                      <w:sz w:val="18"/>
                      <w:szCs w:val="18"/>
                    </w:rPr>
                    <w:t xml:space="preserve"> maddesinin ikinci ve üçüncü fıkraları aşağıdaki şekilde değiştirilmiştir.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“(2) Teminat, antrepoya alınan her parti mal için ayrı </w:t>
                  </w:r>
                  <w:proofErr w:type="spellStart"/>
                  <w:r w:rsidRPr="00471EE5">
                    <w:rPr>
                      <w:rFonts w:ascii="Times New Roman" w:eastAsia="Times New Roman" w:hAnsi="Times New Roman" w:cs="Times New Roman"/>
                      <w:sz w:val="18"/>
                      <w:szCs w:val="18"/>
                    </w:rPr>
                    <w:t>ayrı</w:t>
                  </w:r>
                  <w:proofErr w:type="spellEnd"/>
                  <w:r w:rsidRPr="00471EE5">
                    <w:rPr>
                      <w:rFonts w:ascii="Times New Roman" w:eastAsia="Times New Roman" w:hAnsi="Times New Roman" w:cs="Times New Roman"/>
                      <w:sz w:val="18"/>
                      <w:szCs w:val="18"/>
                    </w:rPr>
                    <w:t xml:space="preserve"> verilebileceği gibi toplu teminat şeklinde de verilebilir. Her iki durumda da birinci fıkrada sayılanlar tarafından teminat verilebilir. Toplu teminat verilmesi halinde, teminat tutarının sürekli izlenmesi </w:t>
                  </w:r>
                  <w:proofErr w:type="gramStart"/>
                  <w:r w:rsidRPr="00471EE5">
                    <w:rPr>
                      <w:rFonts w:ascii="Times New Roman" w:eastAsia="Times New Roman" w:hAnsi="Times New Roman" w:cs="Times New Roman"/>
                      <w:sz w:val="18"/>
                      <w:szCs w:val="18"/>
                    </w:rPr>
                    <w:t>ve  eşyanın</w:t>
                  </w:r>
                  <w:proofErr w:type="gramEnd"/>
                  <w:r w:rsidRPr="00471EE5">
                    <w:rPr>
                      <w:rFonts w:ascii="Times New Roman" w:eastAsia="Times New Roman" w:hAnsi="Times New Roman" w:cs="Times New Roman"/>
                      <w:sz w:val="18"/>
                      <w:szCs w:val="18"/>
                    </w:rPr>
                    <w:t xml:space="preserve"> KDV ve fon dahil vergilerinin toplu teminat miktarını aşması halinde, aşan kısım için ayrıca teminat verilmesi gerekir.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(3) 493 üncü maddenin beşinci fıkrasında sayılan yükümlülerce, C ve E tipi antrepolarda yapılan işlemlerde ikinci fıkrada belirtilen teminat türlerine ilaveten 494 üncü madde uyarınca hesaplanmış teminat da kullanılabilir.”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16 –</w:t>
                  </w:r>
                  <w:r w:rsidRPr="00471EE5">
                    <w:rPr>
                      <w:rFonts w:ascii="Times New Roman" w:eastAsia="Times New Roman" w:hAnsi="Times New Roman" w:cs="Times New Roman"/>
                      <w:sz w:val="18"/>
                      <w:szCs w:val="18"/>
                    </w:rPr>
                    <w:t xml:space="preserve"> Aynı Yönetmeliğin 534 üncü maddesinin birinci fıkrasının ilk paragrafı, aynı fıkranın (g) bendi ile (k) bendinin (15) ve (17) numaralı alt bentleri aşağıdaki şekilde değiştirilmiş ve aynı fıkraya aşağıdaki (l) bendi ile aynı maddeye aşağıdaki dördüncü ve beşinci fıkralar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“Genel ve özel antrepo olarak kullanılacak kapalı ve/veya açık alanlarda Bakanlıkça aşağıdaki nitelik ve şartlar </w:t>
                  </w:r>
                  <w:r w:rsidRPr="00471EE5">
                    <w:rPr>
                      <w:rFonts w:ascii="Times New Roman" w:eastAsia="Times New Roman" w:hAnsi="Times New Roman" w:cs="Times New Roman"/>
                      <w:sz w:val="18"/>
                      <w:szCs w:val="18"/>
                    </w:rPr>
                    <w:lastRenderedPageBreak/>
                    <w:t>aranır. Ancak, antreponun özelliği nedeniyle veya antrepoya konacak eşyanın özel nitelik taşıması halinde bu şartların bir kısmı veya tümü aranmayabilir.”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“g) Eşyanın antrepo içinde kolaylıkla ve emniyetle nakli, istifi, tartılması, ölçülmesi gibi hizmetlerin yapılmasına ve taşıtlara yükletilmesine ve bunlardan boşaltılmasına yarayan gerekli teknik donanım, alet ve cihazlarla donatılmış olması ve gerekli aydınlatma düzenine sahip bulunması,”</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“15) Akaryakıt antrepo tanklarından gemilere, gemilerden de akaryakıt antrepo tanklarına tahliyesi için iskele veya platforma bağlı boru hattının olması,”</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“17) Petrol Piyasası Lisans Yönetmeliğinin 4 üncü maddesinde petrol ve akaryakıt olarak tanımlanan dökme eşyanın (sıvılaştırılmış petrol gazı </w:t>
                  </w:r>
                  <w:proofErr w:type="gramStart"/>
                  <w:r w:rsidRPr="00471EE5">
                    <w:rPr>
                      <w:rFonts w:ascii="Times New Roman" w:eastAsia="Times New Roman" w:hAnsi="Times New Roman" w:cs="Times New Roman"/>
                      <w:sz w:val="18"/>
                      <w:szCs w:val="18"/>
                    </w:rPr>
                    <w:t>dahil</w:t>
                  </w:r>
                  <w:proofErr w:type="gramEnd"/>
                  <w:r w:rsidRPr="00471EE5">
                    <w:rPr>
                      <w:rFonts w:ascii="Times New Roman" w:eastAsia="Times New Roman" w:hAnsi="Times New Roman" w:cs="Times New Roman"/>
                      <w:sz w:val="18"/>
                      <w:szCs w:val="18"/>
                    </w:rPr>
                    <w:t>) akaryakıt antreposu veya tanklara alınması ile buralardan çıkışında kullanılan ana giriş ve çıkış boru hatlarına ek-81/</w:t>
                  </w:r>
                  <w:proofErr w:type="spellStart"/>
                  <w:r w:rsidRPr="00471EE5">
                    <w:rPr>
                      <w:rFonts w:ascii="Times New Roman" w:eastAsia="Times New Roman" w:hAnsi="Times New Roman" w:cs="Times New Roman"/>
                      <w:sz w:val="18"/>
                      <w:szCs w:val="18"/>
                    </w:rPr>
                    <w:t>A’da</w:t>
                  </w:r>
                  <w:proofErr w:type="spellEnd"/>
                  <w:r w:rsidRPr="00471EE5">
                    <w:rPr>
                      <w:rFonts w:ascii="Times New Roman" w:eastAsia="Times New Roman" w:hAnsi="Times New Roman" w:cs="Times New Roman"/>
                      <w:sz w:val="18"/>
                      <w:szCs w:val="18"/>
                    </w:rPr>
                    <w:t xml:space="preserve"> sayılan özelliklere sahip sayaç sisteminin kurulması,”</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“l) Ek-81/</w:t>
                  </w:r>
                  <w:proofErr w:type="spellStart"/>
                  <w:r w:rsidRPr="00471EE5">
                    <w:rPr>
                      <w:rFonts w:ascii="Times New Roman" w:eastAsia="Times New Roman" w:hAnsi="Times New Roman" w:cs="Times New Roman"/>
                      <w:sz w:val="18"/>
                      <w:szCs w:val="18"/>
                    </w:rPr>
                    <w:t>B’de</w:t>
                  </w:r>
                  <w:proofErr w:type="spellEnd"/>
                  <w:r w:rsidRPr="00471EE5">
                    <w:rPr>
                      <w:rFonts w:ascii="Times New Roman" w:eastAsia="Times New Roman" w:hAnsi="Times New Roman" w:cs="Times New Roman"/>
                      <w:sz w:val="18"/>
                      <w:szCs w:val="18"/>
                    </w:rPr>
                    <w:t xml:space="preserve"> sayılan özelliklere sahip kamera sistemi bulunması,”</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“(4) Yurtdışına transit edilecek eşyanın depolandığı akaryakıt antrepo tanklarının tesisteki diğer akaryakıt tanklarıyla bağlantısının bulunmaması gerekir.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(5) Ek-81/A ve ek-81/</w:t>
                  </w:r>
                  <w:proofErr w:type="spellStart"/>
                  <w:r w:rsidRPr="00471EE5">
                    <w:rPr>
                      <w:rFonts w:ascii="Times New Roman" w:eastAsia="Times New Roman" w:hAnsi="Times New Roman" w:cs="Times New Roman"/>
                      <w:sz w:val="18"/>
                      <w:szCs w:val="18"/>
                    </w:rPr>
                    <w:t>B’de</w:t>
                  </w:r>
                  <w:proofErr w:type="spellEnd"/>
                  <w:r w:rsidRPr="00471EE5">
                    <w:rPr>
                      <w:rFonts w:ascii="Times New Roman" w:eastAsia="Times New Roman" w:hAnsi="Times New Roman" w:cs="Times New Roman"/>
                      <w:sz w:val="18"/>
                      <w:szCs w:val="18"/>
                    </w:rPr>
                    <w:t xml:space="preserve"> yer alan ve asgari özellikleri belirtilen sayaç ve kameralara ilişkin teknolojik gelişmeler ile öngörülmeyen durumları inceleyerek sonuçlandırmaya Bakanlık (Tasfiye Hizmetleri Genel Müdürlüğü) yetkilidir.”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17 –</w:t>
                  </w:r>
                  <w:r w:rsidRPr="00471EE5">
                    <w:rPr>
                      <w:rFonts w:ascii="Times New Roman" w:eastAsia="Times New Roman" w:hAnsi="Times New Roman" w:cs="Times New Roman"/>
                      <w:sz w:val="18"/>
                      <w:szCs w:val="18"/>
                    </w:rPr>
                    <w:t xml:space="preserve"> Aynı Yönetmeliğin 541 inci maddesinin birinci fıkrasının sonuna aşağıdaki cümleler eklenmiştir.</w:t>
                  </w:r>
                </w:p>
                <w:p w:rsidR="00471EE5" w:rsidRPr="00471EE5" w:rsidRDefault="00471EE5" w:rsidP="00471EE5">
                  <w:pPr>
                    <w:tabs>
                      <w:tab w:val="left" w:pos="566"/>
                    </w:tabs>
                    <w:spacing w:after="0" w:line="240" w:lineRule="exact"/>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“Ham petrol ile yurtdışına transit edilecek eşya hariç olmak üzere, Petrol Piyasası Lisans Yönetmeliğinin 4 üncü maddesinde petrol ve akaryakıt olarak tanımlanan ve dökme olarak gelen eşya (sıvılaştırılmış petrol gazı </w:t>
                  </w:r>
                  <w:proofErr w:type="gramStart"/>
                  <w:r w:rsidRPr="00471EE5">
                    <w:rPr>
                      <w:rFonts w:ascii="Times New Roman" w:eastAsia="Times New Roman" w:hAnsi="Times New Roman" w:cs="Times New Roman"/>
                      <w:sz w:val="18"/>
                      <w:szCs w:val="18"/>
                    </w:rPr>
                    <w:t>dahil</w:t>
                  </w:r>
                  <w:proofErr w:type="gramEnd"/>
                  <w:r w:rsidRPr="00471EE5">
                    <w:rPr>
                      <w:rFonts w:ascii="Times New Roman" w:eastAsia="Times New Roman" w:hAnsi="Times New Roman" w:cs="Times New Roman"/>
                      <w:sz w:val="18"/>
                      <w:szCs w:val="18"/>
                    </w:rPr>
                    <w:t>) akaryakıt antrepolarına konularak antrepo rejimine tabi tutulamaz ve doğrudan eşyanın tabi tutulacağı gümrük rejimi hükümleri çerçevesinde işlem yapılır. Akaryakıt antreposu tanklarına konulan yurtdışına transit edilecek eşyanın transit rejimi dışında bir gümrük rejimine tabi tutulmasına ve transit rejimi dışında bir gümrük rejimine tabi tutulmak üzere başka akaryakıt antreposu tanklarına aktarılmasına izin verilmez.”</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18 –</w:t>
                  </w:r>
                  <w:r w:rsidRPr="00471EE5">
                    <w:rPr>
                      <w:rFonts w:ascii="Times New Roman" w:eastAsia="Times New Roman" w:hAnsi="Times New Roman" w:cs="Times New Roman"/>
                      <w:sz w:val="18"/>
                      <w:szCs w:val="18"/>
                    </w:rPr>
                    <w:t xml:space="preserve"> Aynı Yönetmeliğin 542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birinci fıkrası ile altıncı fıkrasının (d) bendi aşağıdaki şekilde değiştirilmiş ve aynı maddeye aşağıdaki sekizinci fıkra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 Dökme gelen sıvılar tanklara konulur. Tanklara konulan sıvıların ölçümlerinin uygun cihazlarla yapılması esastır. Ancak, dökme olarak gelen, ham petrol ile yurtdışına transit edilecek eşyanın akaryakıt antreposu tanklarına alınmasından önce ve tanklardan çıkışında 534 üncü maddenin birinci fıkrasının (k) bendinin (17) numaralı alt bendinde belirtilen sayaçlar ile ölçüm yapılır.”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“d) Tankta bulunan serbest dolaşıma girmiş eşyanın, gümrük işlemlerinin bitirilmesini müteakip derhal çekimine başlanır ve çıkarılacak miktara bağlı olarak bu işlem ham petrol için on beş gün, diğer ürünler için ise altmış gün içinde tamamlanır. Bu süreler içerisinde serbest dolaşıma girmiş eşyanın antrepodan çekilememesi halinde bu süreleri otuz güne kadar uzatmaya gümrük müdürlükleri yetkilidir. Bunun dışındaki farklı durumları inceleyerek sonuçlandırmaya gümrük ve ticaret bölge müdürlükleri yetkilidir.”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“(8) Dökme olarak gelen, ham petrol ile yurtdışına transit edilecek eşyanın miktarının tespitinde eşyanın akaryakıt antreposu tanklarına alınmasından önce sayaç ile yapılan ölçümler dikkate alınır.”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19 –</w:t>
                  </w:r>
                  <w:r w:rsidRPr="00471EE5">
                    <w:rPr>
                      <w:rFonts w:ascii="Times New Roman" w:eastAsia="Times New Roman" w:hAnsi="Times New Roman" w:cs="Times New Roman"/>
                      <w:sz w:val="18"/>
                      <w:szCs w:val="18"/>
                    </w:rPr>
                    <w:t xml:space="preserve"> Aynı Yönetmeliğin 559 uncu maddesine aşağıdaki üçüncü fıkra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“(3) Antrepolara konulan eşyanın tabi tutulabileceği gümrükçe onaylanmış işlem veya kullanıma sınırlama getirmeye Bakanlık yetkilidir.”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20 –</w:t>
                  </w:r>
                  <w:r w:rsidRPr="00471EE5">
                    <w:rPr>
                      <w:rFonts w:ascii="Times New Roman" w:eastAsia="Times New Roman" w:hAnsi="Times New Roman" w:cs="Times New Roman"/>
                      <w:sz w:val="18"/>
                      <w:szCs w:val="18"/>
                    </w:rPr>
                    <w:t xml:space="preserve"> Aynı Yönetmeliğin 576 </w:t>
                  </w:r>
                  <w:proofErr w:type="spellStart"/>
                  <w:r w:rsidRPr="00471EE5">
                    <w:rPr>
                      <w:rFonts w:ascii="Times New Roman" w:eastAsia="Times New Roman" w:hAnsi="Times New Roman" w:cs="Times New Roman"/>
                      <w:sz w:val="18"/>
                      <w:szCs w:val="18"/>
                    </w:rPr>
                    <w:t>ncı</w:t>
                  </w:r>
                  <w:proofErr w:type="spellEnd"/>
                  <w:r w:rsidRPr="00471EE5">
                    <w:rPr>
                      <w:rFonts w:ascii="Times New Roman" w:eastAsia="Times New Roman" w:hAnsi="Times New Roman" w:cs="Times New Roman"/>
                      <w:sz w:val="18"/>
                      <w:szCs w:val="18"/>
                    </w:rPr>
                    <w:t xml:space="preserve"> maddesinin birinci fıkrasının (ç) bendinin sonunda yer alan “.” işareti “,” olarak değiştirilmiş ve aynı fıkraya aşağıdaki (d) ve (e) bentleri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“d) Kanunun geçici 6 </w:t>
                  </w:r>
                  <w:proofErr w:type="spellStart"/>
                  <w:r w:rsidRPr="00471EE5">
                    <w:rPr>
                      <w:rFonts w:ascii="Times New Roman" w:eastAsia="Times New Roman" w:hAnsi="Times New Roman" w:cs="Times New Roman"/>
                      <w:sz w:val="18"/>
                      <w:szCs w:val="18"/>
                    </w:rPr>
                    <w:t>ncı</w:t>
                  </w:r>
                  <w:proofErr w:type="spellEnd"/>
                  <w:r w:rsidRPr="00471EE5">
                    <w:rPr>
                      <w:rFonts w:ascii="Times New Roman" w:eastAsia="Times New Roman" w:hAnsi="Times New Roman" w:cs="Times New Roman"/>
                      <w:sz w:val="18"/>
                      <w:szCs w:val="18"/>
                    </w:rPr>
                    <w:t xml:space="preserve"> maddesi uyarınca birden fazla geçici olarak mesleki faaliyetten alıkoyma cezası almamış olmak,</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e) Ertelenmiş, hükmün açıklanması geriye bırakılmış, para cezasına veya tedbire çevrilmiş ya da affa uğramış olsalar bile kaçakçılık, zimmet, ihtilas, </w:t>
                  </w:r>
                  <w:proofErr w:type="gramStart"/>
                  <w:r w:rsidRPr="00471EE5">
                    <w:rPr>
                      <w:rFonts w:ascii="Times New Roman" w:eastAsia="Times New Roman" w:hAnsi="Times New Roman" w:cs="Times New Roman"/>
                      <w:sz w:val="18"/>
                      <w:szCs w:val="18"/>
                    </w:rPr>
                    <w:t>irtikap</w:t>
                  </w:r>
                  <w:proofErr w:type="gramEnd"/>
                  <w:r w:rsidRPr="00471EE5">
                    <w:rPr>
                      <w:rFonts w:ascii="Times New Roman" w:eastAsia="Times New Roman" w:hAnsi="Times New Roman" w:cs="Times New Roman"/>
                      <w:sz w:val="18"/>
                      <w:szCs w:val="18"/>
                    </w:rPr>
                    <w:t>, rüşvet, hırsızlık, dolandırıcılık, sahtecilik, inancı kötüye kullanma, dolanlı iflas, yalan yere şahadet, suç tasnii, iftira, resmi ihale ve alım satımlara fesat karıştırma, devlet sırlarını açığa vurma, suçtan kaynaklanan malvarlığı değerlerini aklama, vergi kaçakçılığı veya vergi kaçakçılığına teşebbüs suçlarından ceza almamış olmak.”</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21 –</w:t>
                  </w:r>
                  <w:r w:rsidRPr="00471EE5">
                    <w:rPr>
                      <w:rFonts w:ascii="Times New Roman" w:eastAsia="Times New Roman" w:hAnsi="Times New Roman" w:cs="Times New Roman"/>
                      <w:sz w:val="18"/>
                      <w:szCs w:val="18"/>
                    </w:rPr>
                    <w:t xml:space="preserve"> Aynı Yönetmeliğe aşağıdaki geçici yedinci madde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b/>
                      <w:sz w:val="18"/>
                      <w:szCs w:val="18"/>
                    </w:rPr>
                  </w:pPr>
                  <w:r w:rsidRPr="00471EE5">
                    <w:rPr>
                      <w:rFonts w:ascii="Times New Roman" w:eastAsia="Times New Roman" w:hAnsi="Times New Roman" w:cs="Times New Roman"/>
                      <w:sz w:val="18"/>
                      <w:szCs w:val="18"/>
                    </w:rPr>
                    <w:t>“</w:t>
                  </w:r>
                  <w:r w:rsidRPr="00471EE5">
                    <w:rPr>
                      <w:rFonts w:ascii="Times New Roman" w:eastAsia="Times New Roman" w:hAnsi="Times New Roman" w:cs="Times New Roman"/>
                      <w:b/>
                      <w:sz w:val="18"/>
                      <w:szCs w:val="18"/>
                    </w:rPr>
                    <w:t>Sayaç sistemine geçiş süreci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GEÇİCİ MADDE 7 –</w:t>
                  </w:r>
                  <w:r w:rsidRPr="00471EE5">
                    <w:rPr>
                      <w:rFonts w:ascii="Times New Roman" w:eastAsia="Times New Roman" w:hAnsi="Times New Roman" w:cs="Times New Roman"/>
                      <w:sz w:val="18"/>
                      <w:szCs w:val="18"/>
                    </w:rPr>
                    <w:t xml:space="preserve"> (1) Petrol Piyasası Lisans Yönetmeliğinin 4 üncü maddesinde petrol ve akaryakıt olarak tanımlanan dökme eşyanın (sıvılaştırılmış petrol gazı </w:t>
                  </w:r>
                  <w:proofErr w:type="gramStart"/>
                  <w:r w:rsidRPr="00471EE5">
                    <w:rPr>
                      <w:rFonts w:ascii="Times New Roman" w:eastAsia="Times New Roman" w:hAnsi="Times New Roman" w:cs="Times New Roman"/>
                      <w:sz w:val="18"/>
                      <w:szCs w:val="18"/>
                    </w:rPr>
                    <w:t>dahil</w:t>
                  </w:r>
                  <w:proofErr w:type="gramEnd"/>
                  <w:r w:rsidRPr="00471EE5">
                    <w:rPr>
                      <w:rFonts w:ascii="Times New Roman" w:eastAsia="Times New Roman" w:hAnsi="Times New Roman" w:cs="Times New Roman"/>
                      <w:sz w:val="18"/>
                      <w:szCs w:val="18"/>
                    </w:rPr>
                    <w:t>) miktarını tespit edecek olan, 534 üncü maddenin birinci fıkrasının (k) bendinin (17) numaralı alt bendinde belirtilen sayaç sisteminin 15/2/2015 tarihine kadar kurulması gerekir. Sayaç sistemi kurulum işlemlerine başlanmış ve süresi içerisinde başvurulmuş olması halinde, bu süre, Yönetmeliğin 525 inci maddesinin ikinci fıkrasında belirtilen süreye kadar Bakanlıkça (Tasfiye Hizmetleri Genel Müdürlüğünce) uzatılabilir. Bu süreler içerisinde sayaç sisteminin kurulmaması halinde antrepo açma ve işletme izinleri iptal edilir.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lastRenderedPageBreak/>
                    <w:t>(2) Birinci fıkra uyarınca, sayaç sistemi kurulan ham petrol ve yurtdışına transit edilecek eşya depolanan akaryakıt antrepoları dışında kalan antrepo tanklarında bulunan eşyanın, tabi tutulacağı gümrük rejimi hükümleri çerçevesinde işlemlerinin tamamlanmasını müteakip, antrepo açma ve işletme izin belgeleri iptal edilir.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(3) 541 inci maddenin birinci fıkrasının son cümlesinde belirtilen uygulamaya, bu maddenin birinci fıkrası uyarınca sayaç sistemi kurulması ile birlikte geçilir.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(4) 542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maddenin altıncı fıkrasının (d) bendi kapsamı uygulamaya, bu maddenin birinci fıkrası uyarınca sayaç sistemi kurulması ile birlikte geçilir. Sayaç sistemi kurulmasına kadar mülga hükme göre uygulamaya devam edilir.”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22 –</w:t>
                  </w:r>
                  <w:r w:rsidRPr="00471EE5">
                    <w:rPr>
                      <w:rFonts w:ascii="Times New Roman" w:eastAsia="Times New Roman" w:hAnsi="Times New Roman" w:cs="Times New Roman"/>
                      <w:sz w:val="18"/>
                      <w:szCs w:val="18"/>
                    </w:rPr>
                    <w:t xml:space="preserve"> Aynı Yönetmeliğe ekteki ek-81/A ve ek-81/B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23 –</w:t>
                  </w:r>
                  <w:r w:rsidRPr="00471EE5">
                    <w:rPr>
                      <w:rFonts w:ascii="Times New Roman" w:eastAsia="Times New Roman" w:hAnsi="Times New Roman" w:cs="Times New Roman"/>
                      <w:sz w:val="18"/>
                      <w:szCs w:val="18"/>
                    </w:rPr>
                    <w:t xml:space="preserve"> Aynı Yönetmeliğin 24 no.lu eki ekteki şekilde ve 82 no.lu ekinin 2 no.lu satırı aşağıdaki şekilde değiştirilmiş, 82 no.lu eke aşağıdaki satır eklenmiştir.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“Yönetmeliğin 72 ila 72/T maddeleri hükümlerine uyulmaması”</w:t>
                  </w:r>
                </w:p>
                <w:p w:rsidR="00471EE5" w:rsidRPr="00471EE5" w:rsidRDefault="00471EE5" w:rsidP="00471EE5">
                  <w:pPr>
                    <w:spacing w:after="0" w:line="240" w:lineRule="auto"/>
                    <w:rPr>
                      <w:rFonts w:ascii="Arial" w:eastAsia="Times New Roman" w:hAnsi="Arial" w:cs="Arial"/>
                      <w:bCs/>
                      <w:color w:val="000080"/>
                      <w:sz w:val="18"/>
                      <w:szCs w:val="18"/>
                      <w:lang w:eastAsia="tr-TR"/>
                    </w:rPr>
                  </w:pPr>
                  <w:r w:rsidRPr="00471EE5">
                    <w:rPr>
                      <w:rFonts w:ascii="Times New Roman" w:eastAsia="Times New Roman" w:hAnsi="Times New Roman" w:cs="Times New Roman"/>
                      <w:bCs/>
                      <w:sz w:val="18"/>
                      <w:szCs w:val="18"/>
                      <w:lang w:eastAsia="tr-TR"/>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45"/>
                    <w:gridCol w:w="8060"/>
                  </w:tblGrid>
                  <w:tr w:rsidR="00471EE5" w:rsidRPr="00471EE5">
                    <w:trPr>
                      <w:trHeight w:val="274"/>
                      <w:jc w:val="center"/>
                    </w:trPr>
                    <w:tc>
                      <w:tcPr>
                        <w:tcW w:w="45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471EE5" w:rsidRPr="00471EE5" w:rsidRDefault="00471EE5" w:rsidP="00471EE5">
                        <w:pPr>
                          <w:adjustRightInd w:val="0"/>
                          <w:spacing w:after="0" w:line="240" w:lineRule="exact"/>
                          <w:jc w:val="both"/>
                          <w:rPr>
                            <w:rFonts w:ascii="Times New Roman" w:eastAsia="Calibri" w:hAnsi="Times New Roman" w:cs="Times New Roman"/>
                            <w:bCs/>
                            <w:sz w:val="18"/>
                            <w:szCs w:val="18"/>
                            <w:lang w:eastAsia="tr-TR"/>
                          </w:rPr>
                        </w:pPr>
                        <w:r w:rsidRPr="00471EE5">
                          <w:rPr>
                            <w:rFonts w:ascii="Times New Roman" w:eastAsia="Calibri" w:hAnsi="Times New Roman" w:cs="Times New Roman"/>
                            <w:bCs/>
                            <w:sz w:val="18"/>
                            <w:szCs w:val="18"/>
                            <w:lang w:eastAsia="tr-TR"/>
                          </w:rPr>
                          <w:t>48</w:t>
                        </w:r>
                      </w:p>
                    </w:tc>
                    <w:tc>
                      <w:tcPr>
                        <w:tcW w:w="84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471EE5" w:rsidRPr="00471EE5" w:rsidRDefault="00471EE5" w:rsidP="00471EE5">
                        <w:pPr>
                          <w:adjustRightInd w:val="0"/>
                          <w:spacing w:after="0" w:line="240" w:lineRule="exact"/>
                          <w:jc w:val="both"/>
                          <w:rPr>
                            <w:rFonts w:ascii="Times New Roman" w:eastAsia="Calibri" w:hAnsi="Times New Roman" w:cs="Times New Roman"/>
                            <w:bCs/>
                            <w:sz w:val="18"/>
                            <w:szCs w:val="18"/>
                            <w:lang w:eastAsia="tr-TR"/>
                          </w:rPr>
                        </w:pPr>
                        <w:r w:rsidRPr="00471EE5">
                          <w:rPr>
                            <w:rFonts w:ascii="Times New Roman" w:eastAsia="Calibri" w:hAnsi="Times New Roman" w:cs="Times New Roman"/>
                            <w:bCs/>
                            <w:sz w:val="18"/>
                            <w:szCs w:val="18"/>
                            <w:lang w:eastAsia="tr-TR"/>
                          </w:rPr>
                          <w:t>Yönetmeliğin 72/Ş maddesinin üçüncü fıkrasına dayanılarak belirlenen liman hizmetleri azami bedellerine ilişkin yapılan düzenlemelere uyulmaması</w:t>
                        </w:r>
                      </w:p>
                    </w:tc>
                  </w:tr>
                </w:tbl>
                <w:p w:rsidR="00471EE5" w:rsidRPr="00471EE5" w:rsidRDefault="00471EE5" w:rsidP="00471EE5">
                  <w:pPr>
                    <w:spacing w:after="0" w:line="240" w:lineRule="auto"/>
                    <w:jc w:val="right"/>
                    <w:rPr>
                      <w:rFonts w:ascii="Times New Roman" w:eastAsia="Times New Roman" w:hAnsi="Times New Roman" w:cs="Times New Roman"/>
                      <w:b/>
                      <w:sz w:val="18"/>
                      <w:szCs w:val="18"/>
                      <w:lang w:eastAsia="tr-TR"/>
                    </w:rPr>
                  </w:pPr>
                  <w:r w:rsidRPr="00471EE5">
                    <w:rPr>
                      <w:rFonts w:ascii="Times New Roman" w:eastAsia="Times New Roman" w:hAnsi="Times New Roman" w:cs="Times New Roman"/>
                      <w:bCs/>
                      <w:sz w:val="18"/>
                      <w:szCs w:val="18"/>
                      <w:lang w:eastAsia="tr-TR"/>
                    </w:rPr>
                    <w:t>”</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24 –</w:t>
                  </w:r>
                  <w:r w:rsidRPr="00471EE5">
                    <w:rPr>
                      <w:rFonts w:ascii="Times New Roman" w:eastAsia="Times New Roman" w:hAnsi="Times New Roman" w:cs="Times New Roman"/>
                      <w:sz w:val="18"/>
                      <w:szCs w:val="18"/>
                    </w:rPr>
                    <w:t xml:space="preserve"> Aynı Yönetmeliğin;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a) 28 inci maddesinin üçüncü fıkrasının (c) bendi,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b) 67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dördüncü fıkrasının ikinci cümlesi,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c) 371 inci maddesi,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ç) 493 üncü maddesinin beşinci fıkrasında yer alan “ile Bakanlıkça belirlenen şartları taşıyan antrepo işleticileri” ibaresi,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d) 494 üncü maddesinin dördüncü fıkrası,</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e) 513 üncü maddesinin üçüncü fıkrasında, 518 inci maddesinin ikinci fıkrasında ve 520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yedinci fıkrasında yer alan “faaliyet belgesi,” ibareleri,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f) 520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birinci fıkrasının (d) bendinde yer alan “ve kayıtlı olunan Odadan alınacak Faaliyet Belgesi” ibaresi,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g) 520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birinci fıkrasının (g) bendi ile beşinci ve altıncı fıkraları,</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ğ) 527 ila 532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maddeleri,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h) 572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maddesinin birinci fıkrasında yer alan “elli soru üzerinden” ibaresi,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ı) 65 no.lu eki,</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471EE5">
                    <w:rPr>
                      <w:rFonts w:ascii="Times New Roman" w:eastAsia="Times New Roman" w:hAnsi="Times New Roman" w:cs="Times New Roman"/>
                      <w:sz w:val="18"/>
                      <w:szCs w:val="18"/>
                    </w:rPr>
                    <w:t>yürürlükten</w:t>
                  </w:r>
                  <w:proofErr w:type="gramEnd"/>
                  <w:r w:rsidRPr="00471EE5">
                    <w:rPr>
                      <w:rFonts w:ascii="Times New Roman" w:eastAsia="Times New Roman" w:hAnsi="Times New Roman" w:cs="Times New Roman"/>
                      <w:sz w:val="18"/>
                      <w:szCs w:val="18"/>
                    </w:rPr>
                    <w:t xml:space="preserve"> kaldırılmıştır.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GEÇİCİ MADDE 1 –</w:t>
                  </w:r>
                  <w:r w:rsidRPr="00471EE5">
                    <w:rPr>
                      <w:rFonts w:ascii="Times New Roman" w:eastAsia="Times New Roman" w:hAnsi="Times New Roman" w:cs="Times New Roman"/>
                      <w:sz w:val="18"/>
                      <w:szCs w:val="18"/>
                    </w:rPr>
                    <w:t xml:space="preserve"> (1) Gümrük Yönetmeliğinin 493 üncü maddesinin beşinci fıkrası, 494 üncü maddesinin dördüncü fıkrası, 526 </w:t>
                  </w:r>
                  <w:proofErr w:type="spellStart"/>
                  <w:r w:rsidRPr="00471EE5">
                    <w:rPr>
                      <w:rFonts w:ascii="Times New Roman" w:eastAsia="Times New Roman" w:hAnsi="Times New Roman" w:cs="Times New Roman"/>
                      <w:sz w:val="18"/>
                      <w:szCs w:val="18"/>
                    </w:rPr>
                    <w:t>ncı</w:t>
                  </w:r>
                  <w:proofErr w:type="spellEnd"/>
                  <w:r w:rsidRPr="00471EE5">
                    <w:rPr>
                      <w:rFonts w:ascii="Times New Roman" w:eastAsia="Times New Roman" w:hAnsi="Times New Roman" w:cs="Times New Roman"/>
                      <w:sz w:val="18"/>
                      <w:szCs w:val="18"/>
                    </w:rPr>
                    <w:t xml:space="preserve"> maddesinin ikinci ve üçüncü fıkraları </w:t>
                  </w:r>
                  <w:proofErr w:type="gramStart"/>
                  <w:r w:rsidRPr="00471EE5">
                    <w:rPr>
                      <w:rFonts w:ascii="Times New Roman" w:eastAsia="Times New Roman" w:hAnsi="Times New Roman" w:cs="Times New Roman"/>
                      <w:sz w:val="18"/>
                      <w:szCs w:val="18"/>
                    </w:rPr>
                    <w:t>ve  527</w:t>
                  </w:r>
                  <w:proofErr w:type="gramEnd"/>
                  <w:r w:rsidRPr="00471EE5">
                    <w:rPr>
                      <w:rFonts w:ascii="Times New Roman" w:eastAsia="Times New Roman" w:hAnsi="Times New Roman" w:cs="Times New Roman"/>
                      <w:sz w:val="18"/>
                      <w:szCs w:val="18"/>
                    </w:rPr>
                    <w:t xml:space="preserve"> ila 532 </w:t>
                  </w:r>
                  <w:proofErr w:type="spellStart"/>
                  <w:r w:rsidRPr="00471EE5">
                    <w:rPr>
                      <w:rFonts w:ascii="Times New Roman" w:eastAsia="Times New Roman" w:hAnsi="Times New Roman" w:cs="Times New Roman"/>
                      <w:sz w:val="18"/>
                      <w:szCs w:val="18"/>
                    </w:rPr>
                    <w:t>nci</w:t>
                  </w:r>
                  <w:proofErr w:type="spellEnd"/>
                  <w:r w:rsidRPr="00471EE5">
                    <w:rPr>
                      <w:rFonts w:ascii="Times New Roman" w:eastAsia="Times New Roman" w:hAnsi="Times New Roman" w:cs="Times New Roman"/>
                      <w:sz w:val="18"/>
                      <w:szCs w:val="18"/>
                    </w:rPr>
                    <w:t xml:space="preserve"> maddelerinde bu Yönetmelik ile yapılan değişikliğe ilişkin hükümlerin yürürlüğe girmesinden önce antrepoya alınmış eşya için uygulanan teminat sistemi devam eder.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25 –</w:t>
                  </w:r>
                  <w:r w:rsidRPr="00471EE5">
                    <w:rPr>
                      <w:rFonts w:ascii="Times New Roman" w:eastAsia="Times New Roman" w:hAnsi="Times New Roman" w:cs="Times New Roman"/>
                      <w:sz w:val="18"/>
                      <w:szCs w:val="18"/>
                    </w:rPr>
                    <w:t xml:space="preserve"> Bu Yönetmeliğin;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a) 15 inci maddesi ile 24 üncü maddesinin (ç), (d) ve (ğ) bentleri yayımını takip eden </w:t>
                  </w:r>
                  <w:proofErr w:type="spellStart"/>
                  <w:r w:rsidRPr="00471EE5">
                    <w:rPr>
                      <w:rFonts w:ascii="Times New Roman" w:eastAsia="Times New Roman" w:hAnsi="Times New Roman" w:cs="Times New Roman"/>
                      <w:sz w:val="18"/>
                      <w:szCs w:val="18"/>
                    </w:rPr>
                    <w:t>onbeşinci</w:t>
                  </w:r>
                  <w:proofErr w:type="spellEnd"/>
                  <w:r w:rsidRPr="00471EE5">
                    <w:rPr>
                      <w:rFonts w:ascii="Times New Roman" w:eastAsia="Times New Roman" w:hAnsi="Times New Roman" w:cs="Times New Roman"/>
                      <w:sz w:val="18"/>
                      <w:szCs w:val="18"/>
                    </w:rPr>
                    <w:t xml:space="preserve"> günden itibaren,</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 xml:space="preserve">b) 24 üncü maddesinin (b) bendi </w:t>
                  </w:r>
                  <w:proofErr w:type="gramStart"/>
                  <w:r w:rsidRPr="00471EE5">
                    <w:rPr>
                      <w:rFonts w:ascii="Times New Roman" w:eastAsia="Times New Roman" w:hAnsi="Times New Roman" w:cs="Times New Roman"/>
                      <w:sz w:val="18"/>
                      <w:szCs w:val="18"/>
                    </w:rPr>
                    <w:t>15/2/2015</w:t>
                  </w:r>
                  <w:proofErr w:type="gramEnd"/>
                  <w:r w:rsidRPr="00471EE5">
                    <w:rPr>
                      <w:rFonts w:ascii="Times New Roman" w:eastAsia="Times New Roman" w:hAnsi="Times New Roman" w:cs="Times New Roman"/>
                      <w:sz w:val="18"/>
                      <w:szCs w:val="18"/>
                    </w:rPr>
                    <w:t xml:space="preserve"> tarihinde,</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c) 24 üncü maddesinin diğer bentleri ile diğer maddeleri yayımı tarihinde,</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proofErr w:type="gramStart"/>
                  <w:r w:rsidRPr="00471EE5">
                    <w:rPr>
                      <w:rFonts w:ascii="Times New Roman" w:eastAsia="Times New Roman" w:hAnsi="Times New Roman" w:cs="Times New Roman"/>
                      <w:sz w:val="18"/>
                      <w:szCs w:val="18"/>
                    </w:rPr>
                    <w:t>yürürlüğe</w:t>
                  </w:r>
                  <w:proofErr w:type="gramEnd"/>
                  <w:r w:rsidRPr="00471EE5">
                    <w:rPr>
                      <w:rFonts w:ascii="Times New Roman" w:eastAsia="Times New Roman" w:hAnsi="Times New Roman" w:cs="Times New Roman"/>
                      <w:sz w:val="18"/>
                      <w:szCs w:val="18"/>
                    </w:rPr>
                    <w:t xml:space="preserve"> girer.</w:t>
                  </w:r>
                </w:p>
                <w:p w:rsidR="00471EE5" w:rsidRPr="00471EE5" w:rsidRDefault="00471EE5" w:rsidP="00471EE5">
                  <w:pPr>
                    <w:tabs>
                      <w:tab w:val="left" w:pos="566"/>
                    </w:tabs>
                    <w:spacing w:after="0" w:line="240" w:lineRule="exact"/>
                    <w:ind w:firstLine="566"/>
                    <w:jc w:val="both"/>
                    <w:rPr>
                      <w:rFonts w:ascii="Times New Roman" w:eastAsia="Times New Roman" w:hAnsi="Times New Roman" w:cs="Times New Roman"/>
                      <w:sz w:val="18"/>
                      <w:szCs w:val="18"/>
                    </w:rPr>
                  </w:pPr>
                  <w:r w:rsidRPr="00471EE5">
                    <w:rPr>
                      <w:rFonts w:ascii="Times New Roman" w:eastAsia="Times New Roman" w:hAnsi="Times New Roman" w:cs="Times New Roman"/>
                      <w:b/>
                      <w:sz w:val="18"/>
                      <w:szCs w:val="18"/>
                    </w:rPr>
                    <w:t>MADDE 26 –</w:t>
                  </w:r>
                  <w:r w:rsidRPr="00471EE5">
                    <w:rPr>
                      <w:rFonts w:ascii="Times New Roman" w:eastAsia="Times New Roman" w:hAnsi="Times New Roman" w:cs="Times New Roman"/>
                      <w:sz w:val="18"/>
                      <w:szCs w:val="18"/>
                    </w:rPr>
                    <w:t xml:space="preserve"> Bu Yönetmelik hükümlerini Gümrük ve Ticaret Bakanı yürütür.</w:t>
                  </w:r>
                </w:p>
                <w:p w:rsidR="00471EE5" w:rsidRPr="00471EE5" w:rsidRDefault="00471EE5" w:rsidP="00471EE5">
                  <w:pPr>
                    <w:spacing w:after="0" w:line="240" w:lineRule="auto"/>
                    <w:jc w:val="center"/>
                    <w:rPr>
                      <w:rFonts w:ascii="Arial" w:eastAsia="Times New Roman" w:hAnsi="Arial" w:cs="Arial"/>
                      <w:b/>
                      <w:color w:val="000080"/>
                      <w:sz w:val="18"/>
                      <w:szCs w:val="18"/>
                      <w:lang w:eastAsia="tr-TR"/>
                    </w:rPr>
                  </w:pPr>
                </w:p>
                <w:p w:rsidR="00471EE5" w:rsidRPr="00471EE5" w:rsidRDefault="00471EE5" w:rsidP="00471EE5">
                  <w:pPr>
                    <w:spacing w:after="0" w:line="240" w:lineRule="auto"/>
                    <w:jc w:val="center"/>
                    <w:rPr>
                      <w:rFonts w:ascii="Arial" w:eastAsia="Times New Roman" w:hAnsi="Arial" w:cs="Arial"/>
                      <w:b/>
                      <w:color w:val="000080"/>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471EE5" w:rsidRPr="00471EE5">
                    <w:trPr>
                      <w:jc w:val="center"/>
                    </w:trPr>
                    <w:tc>
                      <w:tcPr>
                        <w:tcW w:w="8505" w:type="dxa"/>
                        <w:gridSpan w:val="3"/>
                        <w:tcBorders>
                          <w:top w:val="single" w:sz="4" w:space="0" w:color="auto"/>
                          <w:left w:val="single" w:sz="4" w:space="0" w:color="auto"/>
                          <w:bottom w:val="nil"/>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b/>
                            <w:sz w:val="18"/>
                            <w:szCs w:val="18"/>
                          </w:rPr>
                        </w:pPr>
                        <w:r w:rsidRPr="00471EE5">
                          <w:rPr>
                            <w:rFonts w:ascii="Times New Roman" w:eastAsia="Times New Roman" w:hAnsi="Times New Roman" w:cs="Times New Roman"/>
                            <w:b/>
                            <w:sz w:val="18"/>
                            <w:szCs w:val="18"/>
                          </w:rPr>
                          <w:t>Yönetmeliğin Yayımlandığı Resmî Gazete'nin</w:t>
                        </w:r>
                      </w:p>
                    </w:tc>
                  </w:tr>
                  <w:tr w:rsidR="00471EE5" w:rsidRPr="00471EE5">
                    <w:trPr>
                      <w:jc w:val="center"/>
                    </w:trPr>
                    <w:tc>
                      <w:tcPr>
                        <w:tcW w:w="4254" w:type="dxa"/>
                        <w:gridSpan w:val="2"/>
                        <w:tcBorders>
                          <w:top w:val="nil"/>
                          <w:left w:val="single" w:sz="4" w:space="0" w:color="auto"/>
                          <w:bottom w:val="single" w:sz="4" w:space="0" w:color="auto"/>
                          <w:right w:val="nil"/>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b/>
                            <w:sz w:val="18"/>
                            <w:szCs w:val="18"/>
                          </w:rPr>
                        </w:pPr>
                        <w:r w:rsidRPr="00471EE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b/>
                            <w:sz w:val="18"/>
                            <w:szCs w:val="18"/>
                          </w:rPr>
                        </w:pPr>
                        <w:r w:rsidRPr="00471EE5">
                          <w:rPr>
                            <w:rFonts w:ascii="Times New Roman" w:eastAsia="Times New Roman" w:hAnsi="Times New Roman" w:cs="Times New Roman"/>
                            <w:b/>
                            <w:sz w:val="18"/>
                            <w:szCs w:val="18"/>
                          </w:rPr>
                          <w:t>Sayısı</w:t>
                        </w:r>
                      </w:p>
                    </w:tc>
                  </w:tr>
                  <w:tr w:rsidR="00471EE5" w:rsidRPr="00471EE5">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proofErr w:type="gramStart"/>
                        <w:r w:rsidRPr="00471EE5">
                          <w:rPr>
                            <w:rFonts w:ascii="Times New Roman" w:eastAsia="Times New Roman" w:hAnsi="Times New Roman" w:cs="Times New Roman"/>
                            <w:sz w:val="18"/>
                            <w:szCs w:val="18"/>
                            <w:lang w:eastAsia="tr-TR"/>
                          </w:rPr>
                          <w:t>7/10/2009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 xml:space="preserve">27369 Mükerrer </w:t>
                        </w:r>
                      </w:p>
                    </w:tc>
                  </w:tr>
                  <w:tr w:rsidR="00471EE5" w:rsidRPr="00471EE5">
                    <w:trPr>
                      <w:jc w:val="center"/>
                    </w:trPr>
                    <w:tc>
                      <w:tcPr>
                        <w:tcW w:w="8505" w:type="dxa"/>
                        <w:gridSpan w:val="3"/>
                        <w:tcBorders>
                          <w:top w:val="single" w:sz="4" w:space="0" w:color="auto"/>
                          <w:left w:val="single" w:sz="4" w:space="0" w:color="auto"/>
                          <w:bottom w:val="nil"/>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b/>
                            <w:sz w:val="18"/>
                            <w:szCs w:val="18"/>
                          </w:rPr>
                        </w:pPr>
                        <w:r w:rsidRPr="00471EE5">
                          <w:rPr>
                            <w:rFonts w:ascii="Times New Roman" w:eastAsia="Times New Roman" w:hAnsi="Times New Roman" w:cs="Times New Roman"/>
                            <w:b/>
                            <w:sz w:val="18"/>
                            <w:szCs w:val="18"/>
                          </w:rPr>
                          <w:t>Yönetmelikte Değişiklik Yapan Yönetmeliklerin Yayımlandığı Resmî Gazete'nin</w:t>
                        </w:r>
                      </w:p>
                    </w:tc>
                  </w:tr>
                  <w:tr w:rsidR="00471EE5" w:rsidRPr="00471EE5">
                    <w:trPr>
                      <w:jc w:val="center"/>
                    </w:trPr>
                    <w:tc>
                      <w:tcPr>
                        <w:tcW w:w="4254" w:type="dxa"/>
                        <w:gridSpan w:val="2"/>
                        <w:tcBorders>
                          <w:top w:val="nil"/>
                          <w:left w:val="single" w:sz="4" w:space="0" w:color="auto"/>
                          <w:bottom w:val="single" w:sz="4" w:space="0" w:color="auto"/>
                          <w:right w:val="nil"/>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b/>
                            <w:sz w:val="18"/>
                            <w:szCs w:val="18"/>
                          </w:rPr>
                        </w:pPr>
                        <w:r w:rsidRPr="00471EE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b/>
                            <w:sz w:val="18"/>
                            <w:szCs w:val="18"/>
                          </w:rPr>
                        </w:pPr>
                        <w:r w:rsidRPr="00471EE5">
                          <w:rPr>
                            <w:rFonts w:ascii="Times New Roman" w:eastAsia="Times New Roman" w:hAnsi="Times New Roman" w:cs="Times New Roman"/>
                            <w:b/>
                            <w:sz w:val="18"/>
                            <w:szCs w:val="18"/>
                          </w:rPr>
                          <w:t>Sayısı</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sz w:val="18"/>
                            <w:szCs w:val="18"/>
                            <w:lang w:eastAsia="tr-TR"/>
                          </w:rPr>
                        </w:pPr>
                        <w:proofErr w:type="gramStart"/>
                        <w:r w:rsidRPr="00471EE5">
                          <w:rPr>
                            <w:rFonts w:ascii="Times New Roman" w:eastAsia="Times New Roman" w:hAnsi="Times New Roman" w:cs="Times New Roman"/>
                            <w:sz w:val="18"/>
                            <w:szCs w:val="18"/>
                            <w:lang w:eastAsia="tr-TR"/>
                          </w:rPr>
                          <w:t>31/3/2010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27538</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sz w:val="18"/>
                            <w:szCs w:val="18"/>
                            <w:lang w:eastAsia="tr-TR"/>
                          </w:rPr>
                        </w:pPr>
                        <w:proofErr w:type="gramStart"/>
                        <w:r w:rsidRPr="00471EE5">
                          <w:rPr>
                            <w:rFonts w:ascii="Times New Roman" w:eastAsia="Times New Roman" w:hAnsi="Times New Roman" w:cs="Times New Roman"/>
                            <w:bCs/>
                            <w:sz w:val="18"/>
                            <w:szCs w:val="18"/>
                            <w:lang w:eastAsia="tr-TR"/>
                          </w:rPr>
                          <w:t>2/7/2010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bCs/>
                            <w:sz w:val="18"/>
                            <w:szCs w:val="18"/>
                            <w:lang w:eastAsia="tr-TR"/>
                          </w:rPr>
                          <w:t>27629</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27773</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31/12/2010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27802</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26/3/2011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27886</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30/4/2011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27920</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23/5/2011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27942</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16/7/2011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27996</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lastRenderedPageBreak/>
                          <w:t>9-</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2/11/2011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28103</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28/12/2011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bCs/>
                            <w:sz w:val="18"/>
                            <w:szCs w:val="18"/>
                            <w:lang w:eastAsia="tr-TR"/>
                          </w:rPr>
                          <w:t>28156</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ヒラギノ明朝Pro W3" w:hAnsi="Times New Roman" w:cs="Times New Roman"/>
                            <w:sz w:val="18"/>
                            <w:szCs w:val="18"/>
                            <w:lang w:eastAsia="tr-TR"/>
                          </w:rPr>
                          <w:t>31</w:t>
                        </w:r>
                        <w:r w:rsidRPr="00471EE5">
                          <w:rPr>
                            <w:rFonts w:ascii="Times New Roman" w:eastAsia="Times New Roman" w:hAnsi="Times New Roman" w:cs="Times New Roman"/>
                            <w:sz w:val="18"/>
                            <w:szCs w:val="18"/>
                            <w:lang w:eastAsia="tr-TR"/>
                          </w:rPr>
                          <w:t>/3/2012</w:t>
                        </w:r>
                        <w:proofErr w:type="gramEnd"/>
                        <w:r w:rsidRPr="00471EE5">
                          <w:rPr>
                            <w:rFonts w:ascii="Times New Roman" w:eastAsia="Times New Roman" w:hAnsi="Times New Roman" w:cs="Times New Roman"/>
                            <w:sz w:val="18"/>
                            <w:szCs w:val="18"/>
                            <w:lang w:eastAsia="tr-TR"/>
                          </w:rPr>
                          <w:t xml:space="preserve"> </w:t>
                        </w:r>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sz w:val="18"/>
                            <w:szCs w:val="18"/>
                            <w:lang w:eastAsia="tr-TR"/>
                          </w:rPr>
                          <w:t>28250</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12/6/2012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bCs/>
                            <w:sz w:val="18"/>
                            <w:szCs w:val="18"/>
                            <w:lang w:eastAsia="tr-TR"/>
                          </w:rPr>
                        </w:pPr>
                        <w:r w:rsidRPr="00471EE5">
                          <w:rPr>
                            <w:rFonts w:ascii="Times New Roman" w:eastAsia="Times New Roman" w:hAnsi="Times New Roman" w:cs="Times New Roman"/>
                            <w:sz w:val="18"/>
                            <w:szCs w:val="18"/>
                            <w:lang w:eastAsia="tr-TR"/>
                          </w:rPr>
                          <w:t>28321</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13-</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20/11/2012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28473</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14-</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10/1/2013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28524</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15-</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7/2/2013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28552</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16-</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5/4/2013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28609</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17-</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15/5/2013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28648</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18-</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12/6/2013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28675</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19-</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3/8/2013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28727</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20-</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21/11/2013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 xml:space="preserve">                28828 (Mükerrer)</w:t>
                        </w:r>
                      </w:p>
                    </w:tc>
                  </w:tr>
                  <w:tr w:rsidR="00471EE5" w:rsidRPr="00471EE5">
                    <w:trPr>
                      <w:jc w:val="center"/>
                    </w:trPr>
                    <w:tc>
                      <w:tcPr>
                        <w:tcW w:w="43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tabs>
                            <w:tab w:val="left" w:pos="566"/>
                          </w:tabs>
                          <w:spacing w:after="0" w:line="240" w:lineRule="exact"/>
                          <w:jc w:val="center"/>
                          <w:rPr>
                            <w:rFonts w:ascii="Times New Roman" w:eastAsia="Times New Roman" w:hAnsi="Times New Roman" w:cs="Times New Roman"/>
                            <w:sz w:val="18"/>
                            <w:szCs w:val="18"/>
                          </w:rPr>
                        </w:pPr>
                        <w:r w:rsidRPr="00471EE5">
                          <w:rPr>
                            <w:rFonts w:ascii="Times New Roman" w:eastAsia="Times New Roman" w:hAnsi="Times New Roman" w:cs="Times New Roman"/>
                            <w:sz w:val="18"/>
                            <w:szCs w:val="18"/>
                          </w:rPr>
                          <w:t>21-</w:t>
                        </w:r>
                      </w:p>
                    </w:tc>
                    <w:tc>
                      <w:tcPr>
                        <w:tcW w:w="3817"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ind w:right="469"/>
                          <w:jc w:val="center"/>
                          <w:rPr>
                            <w:rFonts w:ascii="Times New Roman" w:eastAsia="Times New Roman" w:hAnsi="Times New Roman" w:cs="Times New Roman"/>
                            <w:bCs/>
                            <w:sz w:val="18"/>
                            <w:szCs w:val="18"/>
                            <w:lang w:eastAsia="tr-TR"/>
                          </w:rPr>
                        </w:pPr>
                        <w:proofErr w:type="gramStart"/>
                        <w:r w:rsidRPr="00471EE5">
                          <w:rPr>
                            <w:rFonts w:ascii="Times New Roman" w:eastAsia="Times New Roman" w:hAnsi="Times New Roman" w:cs="Times New Roman"/>
                            <w:bCs/>
                            <w:sz w:val="18"/>
                            <w:szCs w:val="18"/>
                            <w:lang w:eastAsia="tr-TR"/>
                          </w:rPr>
                          <w:t>21/5/2014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1EE5" w:rsidRPr="00471EE5" w:rsidRDefault="00471EE5" w:rsidP="00471EE5">
                        <w:pPr>
                          <w:spacing w:after="0" w:line="240" w:lineRule="exact"/>
                          <w:jc w:val="center"/>
                          <w:rPr>
                            <w:rFonts w:ascii="Times New Roman" w:eastAsia="Times New Roman" w:hAnsi="Times New Roman" w:cs="Times New Roman"/>
                            <w:sz w:val="18"/>
                            <w:szCs w:val="18"/>
                            <w:lang w:eastAsia="tr-TR"/>
                          </w:rPr>
                        </w:pPr>
                        <w:r w:rsidRPr="00471EE5">
                          <w:rPr>
                            <w:rFonts w:ascii="Times New Roman" w:eastAsia="Times New Roman" w:hAnsi="Times New Roman" w:cs="Times New Roman"/>
                            <w:sz w:val="18"/>
                            <w:szCs w:val="18"/>
                            <w:lang w:eastAsia="tr-TR"/>
                          </w:rPr>
                          <w:t xml:space="preserve">29006 </w:t>
                        </w:r>
                      </w:p>
                    </w:tc>
                  </w:tr>
                </w:tbl>
                <w:p w:rsidR="00471EE5" w:rsidRPr="00471EE5" w:rsidRDefault="00471EE5" w:rsidP="00471EE5">
                  <w:pPr>
                    <w:spacing w:before="100" w:beforeAutospacing="1" w:after="100" w:afterAutospacing="1" w:line="240" w:lineRule="auto"/>
                    <w:rPr>
                      <w:rFonts w:ascii="Times New Roman" w:eastAsia="Times New Roman" w:hAnsi="Times New Roman" w:cs="Times New Roman"/>
                      <w:b/>
                      <w:sz w:val="18"/>
                      <w:szCs w:val="18"/>
                      <w:lang w:eastAsia="tr-TR"/>
                    </w:rPr>
                  </w:pPr>
                  <w:hyperlink r:id="rId4" w:history="1">
                    <w:r w:rsidRPr="00471EE5">
                      <w:rPr>
                        <w:rFonts w:ascii="Times New Roman" w:eastAsia="Times New Roman" w:hAnsi="Times New Roman" w:cs="Times New Roman"/>
                        <w:b/>
                        <w:color w:val="0000FF"/>
                        <w:sz w:val="18"/>
                        <w:lang w:eastAsia="tr-TR"/>
                      </w:rPr>
                      <w:t>Ekler için tıklayınız</w:t>
                    </w:r>
                  </w:hyperlink>
                </w:p>
              </w:tc>
            </w:tr>
          </w:tbl>
          <w:p w:rsidR="00471EE5" w:rsidRPr="00471EE5" w:rsidRDefault="00471EE5" w:rsidP="00471EE5">
            <w:pPr>
              <w:spacing w:after="0" w:line="240" w:lineRule="auto"/>
              <w:jc w:val="center"/>
              <w:rPr>
                <w:rFonts w:ascii="Times New Roman" w:eastAsia="Times New Roman" w:hAnsi="Times New Roman" w:cs="Times New Roman"/>
                <w:sz w:val="20"/>
                <w:szCs w:val="20"/>
                <w:lang w:eastAsia="tr-TR"/>
              </w:rPr>
            </w:pPr>
          </w:p>
        </w:tc>
      </w:tr>
    </w:tbl>
    <w:p w:rsidR="00471EE5" w:rsidRPr="00471EE5" w:rsidRDefault="00471EE5" w:rsidP="00471EE5">
      <w:pPr>
        <w:spacing w:after="0" w:line="240" w:lineRule="auto"/>
        <w:jc w:val="center"/>
        <w:rPr>
          <w:rFonts w:ascii="Times New Roman" w:eastAsia="Times New Roman" w:hAnsi="Times New Roman" w:cs="Times New Roman"/>
          <w:sz w:val="24"/>
          <w:szCs w:val="24"/>
          <w:lang w:eastAsia="tr-TR"/>
        </w:rPr>
      </w:pPr>
    </w:p>
    <w:p w:rsidR="00111292" w:rsidRDefault="00111292"/>
    <w:sectPr w:rsidR="00111292" w:rsidSect="001112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1EE5"/>
    <w:rsid w:val="00111292"/>
    <w:rsid w:val="00471E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71EE5"/>
    <w:rPr>
      <w:color w:val="0000FF"/>
      <w:u w:val="single"/>
    </w:rPr>
  </w:style>
  <w:style w:type="paragraph" w:styleId="NormalWeb">
    <w:name w:val="Normal (Web)"/>
    <w:basedOn w:val="Normal"/>
    <w:rsid w:val="00471E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 Yazı"/>
    <w:rsid w:val="00471EE5"/>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471EE5"/>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471EE5"/>
    <w:pPr>
      <w:spacing w:after="0" w:line="240" w:lineRule="auto"/>
      <w:jc w:val="center"/>
    </w:pPr>
    <w:rPr>
      <w:rFonts w:ascii="Times New Roman" w:eastAsia="ヒラギノ明朝 Pro W3" w:hAnsi="Times" w:cs="Times New Roman"/>
      <w:b/>
      <w:sz w:val="19"/>
      <w:szCs w:val="20"/>
    </w:rPr>
  </w:style>
</w:styles>
</file>

<file path=word/webSettings.xml><?xml version="1.0" encoding="utf-8"?>
<w:webSettings xmlns:r="http://schemas.openxmlformats.org/officeDocument/2006/relationships" xmlns:w="http://schemas.openxmlformats.org/wordprocessingml/2006/main">
  <w:divs>
    <w:div w:id="791091357">
      <w:bodyDiv w:val="1"/>
      <w:marLeft w:val="0"/>
      <w:marRight w:val="0"/>
      <w:marTop w:val="0"/>
      <w:marBottom w:val="0"/>
      <w:divBdr>
        <w:top w:val="none" w:sz="0" w:space="0" w:color="auto"/>
        <w:left w:val="none" w:sz="0" w:space="0" w:color="auto"/>
        <w:bottom w:val="none" w:sz="0" w:space="0" w:color="auto"/>
        <w:right w:val="none" w:sz="0" w:space="0" w:color="auto"/>
      </w:divBdr>
      <w:divsChild>
        <w:div w:id="1408578164">
          <w:marLeft w:val="0"/>
          <w:marRight w:val="0"/>
          <w:marTop w:val="0"/>
          <w:marBottom w:val="0"/>
          <w:divBdr>
            <w:top w:val="none" w:sz="0" w:space="0" w:color="auto"/>
            <w:left w:val="none" w:sz="0" w:space="0" w:color="auto"/>
            <w:bottom w:val="none" w:sz="0" w:space="0" w:color="auto"/>
            <w:right w:val="none" w:sz="0" w:space="0" w:color="auto"/>
          </w:divBdr>
          <w:divsChild>
            <w:div w:id="557479876">
              <w:marLeft w:val="0"/>
              <w:marRight w:val="0"/>
              <w:marTop w:val="0"/>
              <w:marBottom w:val="0"/>
              <w:divBdr>
                <w:top w:val="none" w:sz="0" w:space="0" w:color="auto"/>
                <w:left w:val="none" w:sz="0" w:space="0" w:color="auto"/>
                <w:bottom w:val="none" w:sz="0" w:space="0" w:color="auto"/>
                <w:right w:val="none" w:sz="0" w:space="0" w:color="auto"/>
              </w:divBdr>
              <w:divsChild>
                <w:div w:id="19909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2/20141202-4-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2772</Words>
  <Characters>15803</Characters>
  <Application>Microsoft Office Word</Application>
  <DocSecurity>0</DocSecurity>
  <Lines>131</Lines>
  <Paragraphs>37</Paragraphs>
  <ScaleCrop>false</ScaleCrop>
  <Company/>
  <LinksUpToDate>false</LinksUpToDate>
  <CharactersWithSpaces>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2014-12-02T07:37:00Z</dcterms:created>
  <dcterms:modified xsi:type="dcterms:W3CDTF">2014-12-02T07:37:00Z</dcterms:modified>
</cp:coreProperties>
</file>