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82009" w:rsidRPr="00782009" w:rsidTr="0078200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82009" w:rsidRPr="0078200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2009" w:rsidRPr="00782009" w:rsidRDefault="00782009" w:rsidP="0078200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8200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78200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2009" w:rsidRPr="00782009" w:rsidRDefault="00782009" w:rsidP="0078200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8200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82009" w:rsidRPr="00782009" w:rsidRDefault="00782009" w:rsidP="0078200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8200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782009" w:rsidRPr="0078200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82009" w:rsidRPr="00782009" w:rsidRDefault="00782009" w:rsidP="0078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8200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82009" w:rsidRPr="0078200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782009" w:rsidRPr="00782009" w:rsidRDefault="00782009" w:rsidP="00782009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GEL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VERG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GENEL TEBL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782009" w:rsidRPr="00782009" w:rsidRDefault="00782009" w:rsidP="00782009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287)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31/12/1960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193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 Vergisi Kanununun 21, 23/8, 31, 47, 48,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80, 82, 86 ve 103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yer alan ve yeniden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maktu had ve tutarlar ile 1/1/2006 tarihinden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ihra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bir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menkul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ymetlerden 2014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elde edilen menkul sermaye irad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beyan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dikkate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klamalar bu Tebli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konusunu olu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turmaktad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 Yeniden De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erleme Oran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Art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Had ve Tutarlar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Gelir Vergisi Kanununun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123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(2)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Kanunun 21, 23/8, 31, 47, 48,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80, 82 ve 86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yer alan maktu had ve tutarlar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her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bir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Vergi Usul Kanunu h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belirlenen yeniden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uygulanaca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bu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hesaplanan maktu had ve tutarlar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 5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kesirlerinin dikkate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nmayaca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Bakanlar Kurulunun, bu surette tespit edilen had ve tutarlar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veya indirmeye yetkili oldu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(3)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da 103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yer alan vergi tarifesinin gelir dilimi tutarlar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 yukar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uygulanaca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h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Gelir Vergisi Kanununun 21, 23/8, 31, 47, 48,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80, 82, 86 ve 103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yer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p, 2014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uygulanan had ve tutarlar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2014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 10,11 (on virg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olarak tespit edilen yeniden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belirlenen ve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uygulanacak olan had ve tutarlar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  <w:proofErr w:type="gramEnd"/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1.1. Gayrimenkul Sermaye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ratlar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 Uygulanan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Gelir Vergisi Kanununun 21 inci maddesinde yer alan mesken kira gelirleri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uygulanan istisna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elde edilen kira gelirleri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3.600 TL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1.2. Hizmet Erbab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yeri veya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yerinin M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temilat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D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Kalan Yerlerde Yemek Verilmek Suretiyle Sa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lanan Menfaatlere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kin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23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8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bendinde yer alan,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verenlerce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veya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yerinin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temilat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yerlerde hizmet erbab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yemek verilmek suretiyle sa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menfaatlere ili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13.00 TL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1.3. Engellilik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ndirimi Tutarlar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Gelir Vergisi Kanununun 31 inci maddesinde yer alan engellilik indirimi tutarlar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zere; birinci derece engelliler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880 TL, ikinci derece engelliler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440 TL,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derece engelliler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200 TL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1.4. Basit Usule Tabi Olman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Genel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ndan Olan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yeri Kira Bedeline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Tutar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47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(2)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bendinde yer alan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kira bedeli toplam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 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6.000 TL, di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yerlerde 4.000 TL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1.5. Basit Usule Tabi Olman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zel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artlar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Belirleyen Hadler 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Gelir Vergisi Kanununun 48 inci maddesinde yer alan hadler,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zere;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- 1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84.000 TL ve 120.000 TL,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- 2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40.000 TL, 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- 3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84.000 TL,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1.6. De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Art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Kazan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kin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Gelir Vergisi Kanununun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80 inci maddesinde yer alan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art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gelirlerine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10.600 TL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1.7. 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zi Kazan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lara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kin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82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zi kazan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ili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istisna tutar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gelirlerine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23.000 TL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1.8.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Tevkifata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stisnaya Konu Olmayan Menkul ve Gayrimenkul Sermaye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ratlar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Beyanname Verme S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86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tevkifata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istisnaya konu olmayan menkul ve gayrimenkul sermaye iratlar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beyanname verme 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gelirlerine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1.500 TL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1.9. Gelir Vergisine Tabi Gelirlerin Vergilendirilmesinde Esas Al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 Tarife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103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gelir vergisine tabi gelirlerin vergilendirilmesinde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esas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tarife,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gelirlerinin vergilendirilmesinde esas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yeniden belirlenmi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12.000 TL'ye kadar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% 15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29.000 TL'nin 12.000 TL'si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1.800 TL, fazlas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% 20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66.000 TL'nin 29.000 TL'si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5.200 TL,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gelirlerinde 106.000 TL'nin 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% 27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29.000 TL'si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5.200 TL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fazlas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66.000 TL'den fazlas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66.000 TL'si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15.190 TL,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gelirlerinde 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% 35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  <w:tab w:val="right" w:pos="767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106.000 TL'den fazlas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106.000 TL'si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25.990 TL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fazlas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2. Basit Usulde Vergilendirmeyle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lgili Hususlar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2.1. Kar Hadleri Emsallerine G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 D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üşü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Bulunan Emtia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İç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in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Hadler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Milli piyango bileti, akaryak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t,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eker ve bunlar gibi kar hadleri emsallerine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olarak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emtia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hadler belirleme yetkisi Gelir Vergisi Kanununun 48 inci maddesi ile Maliye Bakanl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 Bu yetki kullan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2014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285 Seri No.lu Gelir Vergisi Genel Tebli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belirlenen tutarlar yeniden art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maddelerin ticaretini yapanlar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2015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 basit usulden yararlanabilmeleri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31/12/2014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itibariyle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hadleri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2553"/>
                    <w:gridCol w:w="1488"/>
                    <w:gridCol w:w="1488"/>
                    <w:gridCol w:w="1488"/>
                    <w:gridCol w:w="1488"/>
                  </w:tblGrid>
                  <w:tr w:rsidR="00782009" w:rsidRPr="00782009">
                    <w:trPr>
                      <w:jc w:val="center"/>
                    </w:trPr>
                    <w:tc>
                      <w:tcPr>
                        <w:tcW w:w="216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Emtianın Cinsi</w:t>
                        </w:r>
                      </w:p>
                    </w:tc>
                    <w:tc>
                      <w:tcPr>
                        <w:tcW w:w="2520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Büyükşehir Belediye Sınırları </w:t>
                        </w:r>
                        <w:r w:rsidRPr="007820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  <w:br/>
                          <w:t>Dışında Kalan Yerlerde</w:t>
                        </w:r>
                      </w:p>
                    </w:tc>
                    <w:tc>
                      <w:tcPr>
                        <w:tcW w:w="2520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Büyükşehir Belediye Sınırları </w:t>
                        </w:r>
                        <w:r w:rsidRPr="007820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  <w:lang w:eastAsia="tr-TR"/>
                          </w:rPr>
                          <w:br/>
                          <w:t>İçinde Kalan Yerlerde</w:t>
                        </w:r>
                      </w:p>
                    </w:tc>
                  </w:tr>
                  <w:tr w:rsidR="00782009" w:rsidRPr="00782009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Yıllık Alım </w:t>
                        </w: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br/>
                          <w:t>Ölçüsü (TL)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Yıllık Satış </w:t>
                        </w: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br/>
                          <w:t>Ölçüsü (TL)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Yıllık Alım </w:t>
                        </w: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br/>
                          <w:t>Ölçüsü (TL)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Yıllık Satış </w:t>
                        </w: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br/>
                          <w:t>Ölçüsü (TL)</w:t>
                        </w:r>
                      </w:p>
                    </w:tc>
                  </w:tr>
                  <w:tr w:rsidR="00782009" w:rsidRPr="00782009">
                    <w:trPr>
                      <w:jc w:val="center"/>
                    </w:trPr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Değerli </w:t>
                        </w:r>
                        <w:proofErr w:type="gramStart"/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Kağıt</w:t>
                        </w:r>
                        <w:proofErr w:type="gramEnd"/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130.000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tabs>
                            <w:tab w:val="left" w:pos="340"/>
                            <w:tab w:val="center" w:pos="560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150.000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190.000</w:t>
                        </w:r>
                      </w:p>
                    </w:tc>
                  </w:tr>
                  <w:tr w:rsidR="00782009" w:rsidRPr="00782009">
                    <w:trPr>
                      <w:jc w:val="center"/>
                    </w:trPr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Şeker – Çay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106.000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130.000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120.000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160.000</w:t>
                        </w:r>
                      </w:p>
                    </w:tc>
                  </w:tr>
                  <w:tr w:rsidR="00782009" w:rsidRPr="00782009">
                    <w:trPr>
                      <w:jc w:val="center"/>
                    </w:trPr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Milli </w:t>
                        </w:r>
                        <w:proofErr w:type="spellStart"/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Piy</w:t>
                        </w:r>
                        <w:proofErr w:type="spellEnd"/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. Bileti, Hemen </w:t>
                        </w:r>
                      </w:p>
                      <w:p w:rsidR="00782009" w:rsidRPr="00782009" w:rsidRDefault="00782009" w:rsidP="0078200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Kazan, Süper </w:t>
                        </w:r>
                        <w:proofErr w:type="gramStart"/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Toto  vb.</w:t>
                        </w:r>
                        <w:proofErr w:type="gramEnd"/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106.000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130.000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120.000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160.000</w:t>
                        </w:r>
                      </w:p>
                    </w:tc>
                  </w:tr>
                  <w:tr w:rsidR="00782009" w:rsidRPr="00782009">
                    <w:trPr>
                      <w:jc w:val="center"/>
                    </w:trPr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İçki (Bira ve Şarap Hariç) -        İspirto– Sigara–Tütün 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106.000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130.000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120.000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160.000</w:t>
                        </w:r>
                      </w:p>
                    </w:tc>
                  </w:tr>
                  <w:tr w:rsidR="00782009" w:rsidRPr="00782009">
                    <w:trPr>
                      <w:jc w:val="center"/>
                    </w:trPr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Akaryakıt ( LPG hariç 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150.000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160.000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190.000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82009" w:rsidRPr="00782009" w:rsidRDefault="00782009" w:rsidP="00782009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782009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220.000</w:t>
                        </w:r>
                      </w:p>
                    </w:tc>
                  </w:tr>
                </w:tbl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Belirtilen bu mallar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sat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u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 hakk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basit usul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yukar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hadler dikkate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suretiyle, 136 Seri No.lu Gelir Vergisi Genel Tebli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hesaplamalar do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2.2. Basit Usule Tabi M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kelleflerde G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Sonunda Toplu Belge D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zenleme Uygulamas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Basit usulde vergilendirilen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kelleflerle ilgili 215 Seri No.lu Gelir Vergisi Genel Tebli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4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getirilen, belge vermedikleri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sonunda tek bir fatura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zenlenmesine ili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uygulaman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31/12/2015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tarihine kadar devam etmesi Vergi Usul Kanununun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kerrer 257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Bakanl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verdi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yetkiye istinaden uygun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3. 2014 Takvim Y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Elde Edilen Bir K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 Menkul Sermaye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rad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Beyan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Dikkate Al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nacak 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ndirim Oran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Uygulamas</w:t>
                  </w:r>
                  <w:r w:rsidRPr="0078200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76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5281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44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maddesiyle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ikinci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Gelir Vergisi Kanununun 75 inci maddesinin ikinci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(5), (6), (7), (12) ve (14)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bentlerinde yer alan menkul sermaye iratlar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(d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cinsinden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hesaplara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denen faiz ve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vize, alt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ba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 endeksli menkul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 ile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cinsinden ihra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menkul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ymetlerden elde edilenler hari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bulunacak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bu iratlar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beyan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indirim olarak dikkate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ti.</w:t>
                  </w:r>
                  <w:proofErr w:type="gramEnd"/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Gelir Vergisi Kanununun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76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1/1/2006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elde edilen gelirlere uygulanmak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5281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Kanunla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lmakla birlikte, 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Kanunun ge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67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(9)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ince 1/1/2006 tarihinden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ihra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her nevi tahvil ve Hazine bonolar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elde edilen gelirlerin vergilendirilmesinde 31/12/2005 tarihinde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 olan h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esas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olarak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yarar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Vergi Usul Kanununa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o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yeniden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ayn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nemde Devlet tahvili ve Hazine bonosu ihalelerinde olu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bile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ortalama faiz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nmesi suretiyle tespit edilmektedir.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Vergi Usul Kanunu h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2014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tespit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yeniden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 10,11'dir. Bu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nemde Devlet tahvili ve Hazine bonosu ihalelerinde olu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bile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ortalama faiz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% 9,74't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oranlar dikkate 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2014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gelirlerine uygulanacak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birden b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kmaktad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kapsamda, 2014 takvim 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elde edilen menkul sermaye iratlar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ndan,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1/1/2006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ihra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edilmi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 Gelir Vergisi Kanununun 75 inci maddesinin ikinci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(5)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bendinde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her nevi tahvil ve Hazine bonosu faizleri ile Toplu Konut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daresi ve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daresince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menkul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ymetlerden sa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gelirler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birden b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beyan edilmeyecektir. 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vize, alt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ba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 endeksli menkul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 ile d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cinsinden ihra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menkul k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ymetlerden elde edilen menkul sermaye iratlar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beyan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uygulanmayacakt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ticari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letmelere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iratlar 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taraftan, ge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67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(4)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nca, 75 inci maddenin ikinci f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(7), (12) ve (14) numaral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bentlerinde yaz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menkul sermaye iratlar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1/1/2006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demeyi yapanlarca vergi </w:t>
                  </w:r>
                  <w:proofErr w:type="spell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tevkifat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lmakta olup, bu gelirlerin beyan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gelirlere indirim oran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de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——————————————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 xml:space="preserve">1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441 S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No.lu Vergi Usul Kanunu Genel Tebli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a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28867 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 xml:space="preserve">3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2/5/1982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17682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</w:p>
                <w:p w:rsidR="00782009" w:rsidRPr="00782009" w:rsidRDefault="00782009" w:rsidP="00782009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 xml:space="preserve">4 </w:t>
                  </w:r>
                  <w:proofErr w:type="gramStart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6/12/1998</w:t>
                  </w:r>
                  <w:proofErr w:type="gramEnd"/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23545 say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8200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82009" w:rsidRPr="00782009" w:rsidRDefault="00782009" w:rsidP="0078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82009" w:rsidRPr="00782009" w:rsidRDefault="00782009" w:rsidP="0078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82009" w:rsidRPr="00782009" w:rsidRDefault="00782009" w:rsidP="007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6D7E" w:rsidRDefault="00266D7E"/>
    <w:sectPr w:rsidR="00266D7E" w:rsidSect="0026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009"/>
    <w:rsid w:val="00266D7E"/>
    <w:rsid w:val="0078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8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78200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78200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78200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1513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2014-12-30T06:41:00Z</dcterms:created>
  <dcterms:modified xsi:type="dcterms:W3CDTF">2014-12-30T06:43:00Z</dcterms:modified>
</cp:coreProperties>
</file>