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D541D" w:rsidRPr="008D541D" w:rsidTr="008D541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D541D" w:rsidRPr="008D541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541D" w:rsidRPr="008D541D" w:rsidRDefault="008D541D" w:rsidP="008D541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D541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31 Aralık </w:t>
                  </w:r>
                  <w:proofErr w:type="gramStart"/>
                  <w:r w:rsidRPr="008D541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541D" w:rsidRPr="008D541D" w:rsidRDefault="008D541D" w:rsidP="008D541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D541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541D" w:rsidRPr="008D541D" w:rsidRDefault="008D541D" w:rsidP="008D541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D541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29222</w:t>
                  </w:r>
                  <w:proofErr w:type="gramEnd"/>
                </w:p>
              </w:tc>
            </w:tr>
            <w:tr w:rsidR="008D541D" w:rsidRPr="008D541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D541D" w:rsidRPr="008D541D" w:rsidRDefault="008D541D" w:rsidP="008D5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D541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8D541D" w:rsidRPr="008D541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rkiye Barolar Birli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 Ba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kanl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8D541D" w:rsidRPr="008D541D" w:rsidRDefault="008D541D" w:rsidP="008D541D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AVUKATLIK ASGAR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 TAR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FES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8D541D" w:rsidRPr="008D541D" w:rsidRDefault="008D541D" w:rsidP="008D541D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 H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Konu ve kapsam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Mahkemelerde, 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hukuki yard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mlarda, taraflar aras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uyu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sonland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ran her 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merci kararlar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kanun gere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mahkemelerce kar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tarafa 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kletilmesi gereken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tayin ve takdirinde, 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 ve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tarife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Taraflar aras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akdi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kararla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kararla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akdi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ge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ersiz say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halinde; mahkemelerce, dava konusu edilen tutar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tarife gere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hesaplanacak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alt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bir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kmedilemez.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tarife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164. maddesinin 4. 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ger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tirilecek olan akdi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belirlenmesinde sadece asgari de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erin hesaplanmas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dikkate al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Kanunundaki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mlere tabidir.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tarife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alt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kararla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akdi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cretleri, tarife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yap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kabul edilir.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Avukatl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cretinin kapsad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i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Tarifede yaz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kesin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elde edilinceye kadar olan dava,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kar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Avukat taraf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takip edilen dava veya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 ilgili olarak 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dilek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ve yap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gerektirmez.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 tavzihine ili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istemlerin ret veya kabul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de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kmedilemez.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Buna kar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icra takipleriyle, Yarg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tay, Dan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tay, Askeri Yarg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ve Say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</w:t>
                  </w:r>
                  <w:proofErr w:type="spellStart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temyizen</w:t>
                  </w:r>
                  <w:proofErr w:type="spellEnd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idare ve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 adliye mahkemelerinde </w:t>
                  </w:r>
                  <w:proofErr w:type="spellStart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itirazen</w:t>
                  </w:r>
                  <w:proofErr w:type="spellEnd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duru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gerektirir.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Avukatl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cretinin aidiyeti, s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rlar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ortak veya de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ik sebeple davan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reddinde daval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avukatl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Yarg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yerlerince avukata ait olmak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tarafa 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kletilecek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ekli Tarifede yaz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miktardan az ve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ok olamaz. Bu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belirlenmesinde, avukat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eme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i,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 niteli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tutulur.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teselsil sorumluluk da </w:t>
                  </w:r>
                  <w:proofErr w:type="gramStart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birden fazla daval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aleyhine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reddinde, ret sebebi ortak olan daval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vekili lehine tek, ret sebebi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daval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vekili lehine ise her ret sebebi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Birden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ok avukat ile temsil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Ayn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hukuki yard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birden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 avukat taraf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kar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tarafa bir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cretinden fazlas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kletilemez.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cretin t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 etme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Hangi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amada olursa olsun, dava ve icra takibini kabul eden avukat, Tarife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ile belirlenen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tamam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hak kazan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Gerek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smi dava gerekse belirsiz alacak ve tespit davas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mahkemece dava de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erinin belirlenmesinden sonra davac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belirlenmi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takip etmese dahi,   yasal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belirlenmi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de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erine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hesaplan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Davan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konusuz kalmas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, feragat, kabul ve </w:t>
                  </w:r>
                  <w:proofErr w:type="spellStart"/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sulhte</w:t>
                  </w:r>
                  <w:proofErr w:type="spellEnd"/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Anla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konusuz kalmas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feragat, kabul, sulh veya herhangi bir nedenle;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tutana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ncaya kadar giderilirse, Tarife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mleriyle belirlenen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 yar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na,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tutana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giderilirse tamam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kmolunur. Bu madde yarg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mercileri taraf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hesaplanan akdi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melerinde uygulanmaz.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revsizlik, yetkisizlik, dava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yoklu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 veya husumet nedeniyle davan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reddinde, davan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nakli ve a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lmam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say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revsizlik veya yetkisizlik nedeniyle dava dilek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esinin reddine,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nakline veya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tutana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ncaya kadar karar verilmesi durumunda Tarifede yaz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yar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na,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tutana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karar verilmesi durumunda tamam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kmolunur.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kadar ki,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mahkemeye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kmolunacak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ikinci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yaz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miktarlar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dinlenebilmesi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kanunlarda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yerine getirilmemi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husumet nedeniyle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reddine karar verilmesinde,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mahkemeye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Tarifenin ikinci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yaz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miktarlar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memek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mda yaz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Kanunlar gere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nderme, yeni mahkemeler kurulmas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itiraz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verilen 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nderme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kararlar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revsizlik,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nderme veya yetkisizlik karar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verilmesi durumunda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kmedilmez.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Kar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davada, davalar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birle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tirilmesinde ve ayr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Bir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takibi 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dava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 davayla birle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veya davalar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her dava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Nafaka, kira tespiti ve tahliye davalar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Tahliye davalar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bir 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kira bedeli tutar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kira tespiti ve nafaka davalar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tespit olunan kira bedeli fark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kmolunan nafakan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 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tutar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zerinden Tarifenin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hesaplanacak miktar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olarak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kmolunur. Bu miktarlar, Tarifenin ikinci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mahkemeye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belirlenmi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cretten az olamaz.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Nafaka davalar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reddedilen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kmedilemez.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Manevi tazminat davalar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Manevi tazminat davalar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alt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miktar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zerinden Tarifenin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smen reddi durumunda, kar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 vekili yarar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Tarifenin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kmedilecek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cret, davac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vekili lehine belirlenen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ge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Bu davalar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reddi durumunda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Tarifenin ikinci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Manevi tazminat davas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maddi tazminat veya parayla de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 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taleplerle birlikte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durumunda; manevi tazminat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kalem olarak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kmedilir.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cra ve iflas m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kleri ile icra mahkemelerinde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cra ve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flas 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klerindeki hukuki yard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mlara ili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takip sonu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ncaya kadar yap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kar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Konusu para veya para ile de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erlendirilebiliyor ise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creti, bu Tarifenin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belirlenir.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kadar ki takip miktar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2.083,33 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kadar olan icra takiplerinde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tarifenin ikinci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ikinci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nde, icra dairelerindeki takipler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maktu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crettir. Ancak bu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alaca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Aciz belgesi al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takibi sonu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ran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lemlerden say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Bu durumda avukata tam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mahkemelerinde duru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yap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rsa Tarife gere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kmedilir.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kadar ki bu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cret, Tarifenin ikinci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iki ve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sterilen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davalarla ilgili hukuki yard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mlara ili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olup, Tarifenin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belirlenecek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bu 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miktarlar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 Ancak icra mahkemelerinde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istihkak davalar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gere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hesaplanacak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Bor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 itiraz 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borcunu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derse tarifeye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belirlenecek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rtte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 edilir. Maktu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gerektiren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de bu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uygulan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Tahliyeye ili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icra takiplerinde bir 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kira bedeli tutar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gere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ince hesaplanacak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dairelerinde bor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 vekili olarak takip edilen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taraflar aras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akdi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kararla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kararla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akdi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ge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ersiz say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hallerde;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kabilecek uyu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164. maddesinin 4. 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lmesinde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creti, Tarifenin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belirtilen maktu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 alt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kalmamak kayd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Tarifenin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belirlenir. Ancak belirlenen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alaca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ketici hakem heyetleri ve t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ketici mahkemelerinde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hakem heyetlerinin 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lehine verdi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kararlara kar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itiraz davalar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karar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iptali durumunda 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aleyhine,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asgari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tarifesine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proofErr w:type="spellStart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nisbi</w:t>
                  </w:r>
                  <w:proofErr w:type="spellEnd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vek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kmedilir.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tarifenin Birinci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hakem heyetlerine ili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kural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hakem heyetlerinde avukat arac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takip edilen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lerde, avukat ile 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vekkili aras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kabilecek uyu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164. maddesinin 4. 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lmesine ili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kindir.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Tarifelerin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 g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re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Tarifenin ikinci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sterilen hukuki yard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konusu para veya para ile de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erlendirilebiliyor ise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mahkeme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Tarifenin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belirtilen maktu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 alt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kalmamak kayd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(yedinci maddenin ikinci 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dokuzuncu maddenin birinci 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ile onuncu maddenin son 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sakl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yla,) Tarifenin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belirlenir.</w:t>
                  </w:r>
                  <w:proofErr w:type="gramEnd"/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Ancak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kmedilen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kabul veya reddedilen miktar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Ceza davalar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Kamu davas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zerine, </w:t>
                  </w:r>
                  <w:proofErr w:type="gramStart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mahkumiyete</w:t>
                  </w:r>
                  <w:proofErr w:type="gramEnd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 verilmi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vekili bulunan kat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lehine Tarifenin ikinci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ikinci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belirlenen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san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kletilir.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(2) Ceza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yasa, 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kararnamelere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yaln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para cezas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kmolunan davalarda tarifeye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belirlenecek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kmolunan para cezas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CMK 141 ve devam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tazminat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Ceza Mahkemelerine yap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vurularda, Tarifenin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kmedilir.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kadar ki,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kmedilecek bu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ikinci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onuncu 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cretten az olamaz.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ocuk mahkemelerinde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davalarda, asliye ceza;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ocuk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ceza mahkemelerinde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davalarda da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ceza mahkemeleri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Tarifenin ikinci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maktu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cretlere ili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Beraat eden ve kendisini vekil ile temsil ettiren san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yarar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hazine aleyhine maktu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kmedilir.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Ceza mahkemelerinde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tekzip, internet yay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karma,  idari para cezalar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itiraz gibi ba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kabul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ilk derece mahkemesinin karar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itiraz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zerine,  ilk derece mahkemesi karar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kald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duru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veya duru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Birinci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1. 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radaki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kmedilir. Ancak ba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vuruya konu idari para cezas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miktar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Tarifenin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Birinci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1. 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radaki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maktu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alt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ise idari para cezas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kadar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kmedilir.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Dan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tay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da, Askeri Y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ksek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dare Mahkemesinde, b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lge idare, idare ve vergi mahkemelerinde g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len dava ve i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lerde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ilk derecede veya duru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temyiz yoluyla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dava ve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lerde, idari ve vergi dava daireleri genel kurullar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dava dairelerinde,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idare, idare ve vergi mahkemelerinde birinci savunma dilek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bitimine kadar anla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feragat ya da kabul nedenleriyle ortadan kalkmas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bu nedenlerle davan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reddine karar verilmesi durumunda Tarifede yaz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yar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di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durumlarda tamam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kmedilir.</w:t>
                  </w:r>
                  <w:proofErr w:type="gramEnd"/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kadar ki, dilek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elerin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mercie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nderilmesine veya dilek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enin reddine karar verilmesi durumunda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kmolunmaz.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Askeri 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ksek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Mahkemesinde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dava ve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de yukar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kralarda belirtilen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Vergi mahkemelerinde takip edilen davalarda taraflar aras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akdi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kararla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kararla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akdi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ge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ersiz say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hallerde;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kabilecek uyu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164. maddesinin 4. 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lmesinde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creti, Tarifenin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belirtilen maktu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 alt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kalmamak kayd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Tarifenin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belirlenir. Ancak belirlenen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vekkil lehine iptal edilen miktar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Arabuluculuk, uzla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ve her t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sulh anla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mas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35/A maddesinde 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edilen uzla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tutana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bu Tarifenin ilgili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belirlenen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uygulan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Arabuluculuk, uzla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her 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sulh anla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uyu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tarifede yer alan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saptanacak miktarlar, akdi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asgari de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erlerini olu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Tahkimde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Hakem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yap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her 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hukuki yard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mlarda bu Tarife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takibinde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Tarifeye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takibi; yarg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yetkisinin kullan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ilgisi bulunmayan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yap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labilmesi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sahibi veya temsilci taraf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yerine getirilmesi kanunlara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zorunlu olan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Tarifede yaz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takibi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 bir veya birden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 resmi daire, kurum veya kurulu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itli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alsa bile, o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sonu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yap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hukuki yard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Dava vekili ve dava takip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ileri eliyle takip olunan i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lerde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Dava vekilleri taraf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takip olunan dava ve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de bu Tarife uygulan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Dava takip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 taraf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takip olunan dava ve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lerde bu Tarifede belirtilen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1/4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Tarifede yaz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olmayan i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lerde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Tarifede yaz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olmayan hukuki yard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niteli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tutularak, Tarifedeki benzeri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belirlenir.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Uygulanacak tarife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takdirinde, hukuki yard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tamamland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dava sonunda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verildi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 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 olan tarife esas al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Seri davalarda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22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htiyari dava arkada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 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seri davalar ister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konusu yap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ister bir davada birle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tirilsin toplamda elli dosyaya kadar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seri davalarda her bir dosya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cretine, toplamda 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dosyaya kadar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seri davalarda her bir dosya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%80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oran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cretine, toplamda </w:t>
                  </w:r>
                  <w:proofErr w:type="spellStart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</w:t>
                  </w:r>
                  <w:proofErr w:type="spellEnd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dosyaya kadar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seri davalarda her bir dosya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%60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cretine, toplamda </w:t>
                  </w:r>
                  <w:proofErr w:type="spellStart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zelliden</w:t>
                  </w:r>
                  <w:proofErr w:type="spellEnd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fazla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seri davalarda her bir dosya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%40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kmedilir. </w:t>
                  </w:r>
                  <w:proofErr w:type="gramEnd"/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Duru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lerde bu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kmedilmesi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dosyaya ili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duru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mahkemede yap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niyetli veya haks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 dava a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23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niyetli daval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hi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hakk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olmad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lde dava 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taraf, yarg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giderlerinden ba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ka, di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taraf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vekiliyle aralar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kararla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tamam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bir 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demeye mahk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û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edilebilir. Vek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miktar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uyu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mahkemece miktar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fahi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bulunmas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bu miktar do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mahkemece Avukatl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 ve i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tarife esas al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takdir olunur.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8D541D" w:rsidRPr="008D541D" w:rsidRDefault="008D541D" w:rsidP="008D541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24 </w:t>
                  </w:r>
                  <w:r w:rsidRPr="008D541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Tarife yay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8D541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8D541D" w:rsidRPr="008D541D" w:rsidRDefault="008D541D" w:rsidP="008D541D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</w:p>
                <w:p w:rsidR="008D541D" w:rsidRPr="008D541D" w:rsidRDefault="008D541D" w:rsidP="008D541D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8D5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AVUKATLIK ÜCRET TARİFESİ</w:t>
                  </w: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365"/>
                    <w:gridCol w:w="6968"/>
                    <w:gridCol w:w="1172"/>
                  </w:tblGrid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BİRİNCİ KISIM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BİRİNCİ BÖLÜM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Dava ve Takiplerin Dışındaki Hukuki Yardımlarda Ödenecek Ücret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Büroda sözlü danışma (ilk bir saate kadar)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210,00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Takip eden her saat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110,00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Çağrı üzerine gidilen yerde sözlü danışma (ilk bir saate kadar)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Takip eden her saat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210,00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3.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Yazılı danışma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4.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Her türlü dilekçe yazılması, ihbarname, ihtarname, protesto düzenlenmesinde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5.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Sözleşmeler ve benzeri belgelerin hazırlanması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a) Kira sözleşmesi ve benzeri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b) Tüzük, yönetmelik, miras sözleşmesi, vasiyetname, vakıf senedi ve benzeri belgelerin hazırlanması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1.200,00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c) Şirket ana sözleşmesi, şirketlerin devir ve birleşmesi vb. ticari işlerle ilgili sözleşmeler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1.200,00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İKİNCİ BÖLÜM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İş Takibi Konusundaki Hukuki Yardımlarda Ödenecek Ücret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Bir durumun belgelendirilmesi, ödeme aşamasındaki paranın tahsili veya bir belgenin örneğinin çıkarılması gibi işlerin takibi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Bir hakkın doğumu, tespiti, tescili, nakli, değiştirilmesi, sona erdirilmesi veya korunması gibi amaçlarla yapılan işler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3.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Tüzel kişi tacirlerin ana sözleşmelerinin onanması, bu tacirlerin çalışma konuları ile ilgili ruhsat ve imtiyazların alınması, devri ve Türk vatandaşlığına kabul edilme gibi işlerin takibi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2.200,00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4.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Vergi uzlaşma komisyonlarında takip edilen işler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1.000,00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5.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Uluslararası yargı yerlerinde takip edilen işlerde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a) Duruşmasız ise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4.300,00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b) Duruşmalı ise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7.500,00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c) Konusu para olan işlerde ise ücret Tarifenin üçüncü kısmına göre belirlenir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6.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İl ve ilçe tüketici hakem heyetleri nezdinde sunulacak hizmetlerde, hizmete konu işin değerinin % 12’sinden aşağı olmamak üzere. Ancak hizmete konu işin değeri maktu ücretin altında ise hizmete konu işin değeri kadar 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250,00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ÜÇÜNCÜ BÖLÜM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Avukatlık Kanununun 35 inci Maddesi Gereğince Bulundurulması Zorunlu Sözleşmeli Avukatlara Aylık Ödenecek Ücret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Yapı kooperatiflerinde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750,00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Anonim şirketlerde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1.250,00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Takip edilen dava, takip ve işlerde tarifeye göre hesaplanacak </w:t>
                        </w:r>
                        <w:proofErr w:type="gramStart"/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avukatlık  ücreti</w:t>
                        </w:r>
                        <w:proofErr w:type="gramEnd"/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yıllık avukatlık ücretinin üzerinde olduğu takdirde aradaki eksik miktar avukata ayrıca ödenir.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DÖRDÜNCÜ BÖLÜM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Kamu Kurum ve Kuruluşlarıyla Özel Kişi ve Tüzel Kişilerin Sözleşmeli Avukatlarına Ödeyecekleri Aylık Avukatlık Ücreti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1.250,00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Takip edilen dava, takip ve işlerde tarifeye göre hesaplanacak avukatlık ücreti yıllık avukatlık ücretinin üzerinde olduğu takdirde aradaki eksik miktar avukata ayrıca ödenir.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İKİNCİ KISIM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BİRİNCİ BÖLÜM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Yargı Yerlerinde, İcra ve İflas Dairelerinde Yapılan ve Konusu Para Olsa veya Para ile Değerlendirilebilse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lastRenderedPageBreak/>
                          <w:t>Bile Maktu Ücrete Bağlı Hukuki Yardımlara Ödenecek Ücret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lastRenderedPageBreak/>
                          <w:t>1.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Görülmekte olan bir dava içinde olmamak koşulu ile ihtiyati haciz, ihtiyati tedbir, delillerin tespiti, icranın geri bırakılması, ödeme ve tevdi yeri belirlenmesi işleri için: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a) Duruşmasız ise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b) Duruşmalı ise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Ortaklığın giderilmesi için satış memurluğunda yapılacak işlerin takibi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550,00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3.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Ortaklığın giderilmesi ve taksim davaları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1.100,00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4.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Vergi Mahkemelerinde takip edilen dava ve işler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a) Duruşmasız ise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750,00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b) Duruşmalı ise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1.100,00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5.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Tüketici Mahkemelerinde görülen kredi taksitlerinin veya faizinin uyarlanması davaları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750,00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İKİNCİ BÖLÜM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Yargı Yerleri ile İcra ve İflas Dairelerinde Yapılan ve Konusu Para Olmayan veya Para ile Değerlendirilemeyen Hukuki Yardımlara Ödenecek Ücret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İcra Dairelerinde yapılan takipler için  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250,00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İcra Mahkemelerinde takip edilen işler için   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3.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İcra Mahkemelerinde takip edilen dava ve duruşmalı işler için  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4.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İcra Mahkemelerinde takip edilen ceza işleri için   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5.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Ceza soruşturma evresinde takip edilen işler için  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450,00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6.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Sulh Hukuk Mahkemeleri, Sulh Ceza </w:t>
                        </w:r>
                        <w:proofErr w:type="gramStart"/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Hakimlikleri</w:t>
                        </w:r>
                        <w:proofErr w:type="gramEnd"/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ve İnfaz Hakimliklerinde takip edilen davalar için  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750,00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7.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Asliye Mahkemelerinde takip edilen davalar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1.500,00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8.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Tüketici Mahkemelerinde takip edilen davalar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750,00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9.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Fikri ve </w:t>
                        </w:r>
                        <w:proofErr w:type="gramStart"/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Sınai</w:t>
                        </w:r>
                        <w:proofErr w:type="gramEnd"/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Haklar Mahkemelerinde takip edilen davalar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2.200,00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10.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Ağır Ceza Mahkemelerinde takip edilen davalar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3.000,00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11.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Çocuk Mahkemelerinde takip edilen davalar için   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1.100,00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12.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Çocuk Ağır Ceza Mahkemelerinde takip edilen davalar için   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3.000,00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13.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Askeri Mahkemelerde takip edilen davalar için   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1.100,00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14.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Disiplin Mahkemelerinde takip edilen davalar için, 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900,00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15.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İdare ve Vergi Mahkemelerinde takip edilen davalar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a) Duruşmasız ise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750,00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highlight w:val="green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b) Duruşmalı ise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1.500,00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16.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Bölge Adliye Mahkemeleri ile Bölge İdare Mahkemelerinde takip edilen istinaf yolu ile görülen işlerin takipleri için  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a) Bir duruşması olan işler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750,00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b) Birden fazla duruşması ve keşif gibi avukatın da bulunması gereken sair işlemleri olan işler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1.500,00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17.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Yargıtay’da ilk derecede görülen davalar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3.000,00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18.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Danıştay ve Askeri Yüksek İdare Mahkemesinde ilk derecede görülen davalar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a) Duruşmasız ise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1.500,00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highlight w:val="green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b) Duruşmalı ise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3.000,00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19.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Yargıtay, Danıştay, Askeri Yargıtay ve Sayıştay’da temyiz yolu ile görülen işlerin duruşması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1.100,00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20.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Uyuşmazlık Mahkemesindeki davalar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1.100,00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21.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Anayasa Mahkemesinde görülen dava ve işler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a) Yüce Divan sıfatı ile bakılan davalar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5.000,00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b) Bireysel başvuru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8D541D" w:rsidRPr="008D541D" w:rsidRDefault="008D541D" w:rsidP="008D541D">
                        <w:pPr>
                          <w:spacing w:after="0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541D" w:rsidRPr="008D541D" w:rsidRDefault="008D541D" w:rsidP="008D541D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Duruşmalı işlerde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3.000,00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541D" w:rsidRPr="008D541D" w:rsidRDefault="008D541D" w:rsidP="008D541D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Duruşmasız işlerde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1.500,00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c) Diğer dava ve işler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3.000,00 TL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ÜÇÜNCÜ KISIM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3B3B3"/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Yargı Yerleri ile İcra ve İflas Dairelerinde Yapılan ve Konusu Para Olan veya Para ile Değerlendirilebilen Hukuki Yardımlara Ödenecek Ücret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İlk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30.000,00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TL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% 12,00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Sonra gelen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40.000,00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TL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% 11,00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3.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Sonra gelen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80.000,00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TL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% 8,00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4.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Sonra gelen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250.000,00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TL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% 6,00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5.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Sonra gelen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600.000,00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TL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% 4,00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6.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Sonra gelen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750.000,00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TL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% 3,00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7.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Sonra gelen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1.250.000,00 </w:t>
                        </w: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TL için 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% 1,50</w:t>
                        </w:r>
                      </w:p>
                    </w:tc>
                  </w:tr>
                  <w:tr w:rsidR="008D541D" w:rsidRPr="008D541D">
                    <w:trPr>
                      <w:trHeight w:val="20"/>
                      <w:jc w:val="center"/>
                    </w:trPr>
                    <w:tc>
                      <w:tcPr>
                        <w:tcW w:w="214" w:type="pc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8.</w:t>
                        </w:r>
                      </w:p>
                    </w:tc>
                    <w:tc>
                      <w:tcPr>
                        <w:tcW w:w="4097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highlight w:val="green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3.000.000,00 </w:t>
                        </w:r>
                        <w:proofErr w:type="spellStart"/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TL’dan</w:t>
                        </w:r>
                        <w:proofErr w:type="spellEnd"/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yukarısı için</w:t>
                        </w:r>
                      </w:p>
                    </w:tc>
                    <w:tc>
                      <w:tcPr>
                        <w:tcW w:w="689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D541D" w:rsidRPr="008D541D" w:rsidRDefault="008D541D" w:rsidP="008D541D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D541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% 1,00</w:t>
                        </w:r>
                      </w:p>
                    </w:tc>
                  </w:tr>
                </w:tbl>
                <w:p w:rsidR="008D541D" w:rsidRPr="008D541D" w:rsidRDefault="008D541D" w:rsidP="008D541D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  <w:p w:rsidR="008D541D" w:rsidRPr="008D541D" w:rsidRDefault="008D541D" w:rsidP="008D5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D541D" w:rsidRPr="008D541D" w:rsidRDefault="008D541D" w:rsidP="008D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D541D" w:rsidRPr="008D541D" w:rsidRDefault="008D541D" w:rsidP="008D5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71E" w:rsidRDefault="00ED271E"/>
    <w:sectPr w:rsidR="00ED271E" w:rsidSect="00ED2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41D"/>
    <w:rsid w:val="008D541D"/>
    <w:rsid w:val="00ED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7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D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8D541D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8D541D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8D541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3144</Words>
  <Characters>17925</Characters>
  <Application>Microsoft Office Word</Application>
  <DocSecurity>0</DocSecurity>
  <Lines>149</Lines>
  <Paragraphs>42</Paragraphs>
  <ScaleCrop>false</ScaleCrop>
  <Company/>
  <LinksUpToDate>false</LinksUpToDate>
  <CharactersWithSpaces>21027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2014-12-31T06:52:00Z</dcterms:created>
  <dcterms:modified xsi:type="dcterms:W3CDTF">2014-12-31T06:52:00Z</dcterms:modified>
</cp:coreProperties>
</file>