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CD6AB9" w:rsidRPr="00CD6AB9" w:rsidTr="00CD6AB9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CD6AB9" w:rsidRPr="00CD6AB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D6AB9" w:rsidRPr="00CD6AB9" w:rsidRDefault="00CD6AB9" w:rsidP="00CD6AB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CD6AB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30 Ocak 2015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D6AB9" w:rsidRPr="00CD6AB9" w:rsidRDefault="00CD6AB9" w:rsidP="00CD6AB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CD6AB9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D6AB9" w:rsidRPr="00CD6AB9" w:rsidRDefault="00CD6AB9" w:rsidP="00CD6AB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CD6AB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29252</w:t>
                  </w:r>
                  <w:proofErr w:type="gramEnd"/>
                </w:p>
              </w:tc>
            </w:tr>
            <w:tr w:rsidR="00CD6AB9" w:rsidRPr="00CD6AB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CD6AB9" w:rsidRPr="00CD6AB9" w:rsidRDefault="00CD6AB9" w:rsidP="00CD6AB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CD6AB9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CD6AB9" w:rsidRPr="00CD6AB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Sa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Bakanl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CD6AB9" w:rsidRPr="00CD6AB9" w:rsidRDefault="00CD6AB9" w:rsidP="00CD6AB9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AYAKTA TE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 VE TEDAV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YAPILAN 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ZEL SA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LIK KURULU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LARI </w:t>
                  </w:r>
                </w:p>
                <w:p w:rsidR="00CD6AB9" w:rsidRPr="00CD6AB9" w:rsidRDefault="00CD6AB9" w:rsidP="00CD6AB9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HAKKINDA Y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KTE DE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</w:t>
                  </w:r>
                </w:p>
                <w:p w:rsidR="00CD6AB9" w:rsidRPr="00CD6AB9" w:rsidRDefault="00CD6AB9" w:rsidP="00CD6AB9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Y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15/2/2008</w:t>
                  </w:r>
                  <w:proofErr w:type="gramEnd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26788 say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Ayakta Te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his ve Tedavi Yap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Sa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8 inci maddesinin 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ikinci c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mlesinin sonuna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veya muayenehaneye 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12/B maddesinin birinci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bendinin ikinci c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mlesi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Merdiven </w:t>
                  </w:r>
                  <w:proofErr w:type="spellStart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proofErr w:type="spellEnd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engellilerin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zorla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rmayacak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bir sat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hla bitirilmesi, merkez giri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engelliler 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uygun 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imli rampa yap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12/C maddesinin 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engelli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12/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(a) bendinde yer alan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Engellilerin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olarak;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(d) bendinde yer alan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engellilerin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bentte yer alan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engelliler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12/D maddesinin birinci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engelli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19 uncu maddesinin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ikinci c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mlesi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yedinci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birinci c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mlesinde yer alan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Asgari personel say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Tabip say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asgari say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poliklini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tabip eksikli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giderememesi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dal uzmanl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bulunanlar, her bir yan dal uzmanl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alan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lkedeki ve ildeki 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kurumlar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pta uzmanl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itimini sa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layacak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Bakanl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belirlenen say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yan dal uzman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bulunmas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uluyla ve Planlama ve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stihdam Komisyonunun uygun g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o ildeki ana dal uzmanl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kadrolar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nda; 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pta uzmanl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itimi verilmeyen illerde ise Planlama ve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stihdam Komisyonunca belirlenecek </w:t>
                  </w:r>
                  <w:proofErr w:type="gramStart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kriterlere</w:t>
                  </w:r>
                  <w:proofErr w:type="gramEnd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komisyon taraf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verilecek uygun g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o ildeki ana dal uzmanl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kadrolar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31 inci maddesinin birinci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(l) bendi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kraya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bentler eklenmi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l) </w:t>
                  </w:r>
                  <w:proofErr w:type="spellStart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Optisyenlik</w:t>
                  </w:r>
                  <w:proofErr w:type="spellEnd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essesesinin bulundu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bina ve bah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 ile 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temilat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g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hastal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uzman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mesle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icra etti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muayenehane ve di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sa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 g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steremez.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m) Serbest eczane bulunan bina ve bah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 ile 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temilat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sa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istenmesi halinde </w:t>
                  </w:r>
                  <w:proofErr w:type="gramStart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12/4/2014</w:t>
                  </w:r>
                  <w:proofErr w:type="gramEnd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28970 say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Eczac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ve Eczaneler Hakk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yap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n) Sa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 bulunan 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cihazlar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olarak bak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m, kontrol ve </w:t>
                  </w:r>
                  <w:proofErr w:type="gramStart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kalibrasyonu</w:t>
                  </w:r>
                  <w:proofErr w:type="gramEnd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35 inci maddesinin birinci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kamu kurumlar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poliklinik ve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ikinci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Birinci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belirtilen poliklinik ve 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merkezleri, 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ruhsatland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Ancak, bunlar 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izin, mesul 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belgesi ve sa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belgesi 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zenlenmez.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 1 inci maddesinin; 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; </w:t>
                  </w:r>
                  <w:proofErr w:type="spellStart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onbirinci</w:t>
                  </w:r>
                  <w:proofErr w:type="spellEnd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birinci c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mlesinde yer alan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merkezleri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Muayenehane hari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olarak, ikinci c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mlesinde yer alan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merkezine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; </w:t>
                  </w:r>
                  <w:proofErr w:type="spellStart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onikinci</w:t>
                  </w:r>
                  <w:proofErr w:type="spellEnd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ve B tipi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maddeye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  <w:proofErr w:type="gramEnd"/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Kadrosuzluk nedeniyle emekli olan veya 60 ya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dolduran tabipler ile engellilik oran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 az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60 olan tabipler bu maddenin ikinci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say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kadrolu tabiplerin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ekline uygun olarak kadro 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ici olarak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abilir.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(17) Poliklinik ve 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merkezi b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nyesinde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ve di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hizmeti sunulmak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birimin,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ve Di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Hizmeti Sunulan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Sa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poliklinikler 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tan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poliklinik odas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asgari personel, 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cihaz, ara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gere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 Bu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tarihten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birimler fiziki standartlar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standartlara uyar.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Ek 2 </w:t>
                  </w:r>
                  <w:proofErr w:type="spellStart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ikinci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koruyucu ve destekleyici nitelikte poliklinikler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 Bakanl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izin verilen geleneksel ve tamamlay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uygulamalar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poliklinik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 xml:space="preserve">MADDE 11 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ici 2 </w:t>
                  </w:r>
                  <w:proofErr w:type="spellStart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dokuzuncu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me/d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ibareleri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erek 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olarak,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me/d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erek 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 olarak ve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me/d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erek 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ici 7 </w:t>
                  </w:r>
                  <w:proofErr w:type="spellStart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Mevcut muayenehanelerin durumu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Çİ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7 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proofErr w:type="gramStart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3/8/2010</w:t>
                  </w:r>
                  <w:proofErr w:type="gramEnd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muayenehaneler bina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fiziki standartlar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mevcut durumlar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faaliyetine devam ederler ve bu muayenehanelere 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3/8/2015 tarihine kadar uygunluk belgesi 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 Bu 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uygunluk belgesi almayan muayenehanelerin faaliyeti valilik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durdurulur. Muayenehanelerin mevcut durumlar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tespitinde bu maddenin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tarihteki resmi kay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 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Birinci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kapsam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muayenehanelerin ta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talepleri bu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erlendirilir.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ici 12 </w:t>
                  </w:r>
                  <w:proofErr w:type="spellStart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maddesine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 eklenmi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proofErr w:type="gramStart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31/12/2013</w:t>
                  </w:r>
                  <w:proofErr w:type="gramEnd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-21/3/2014 tarihleri aras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emekliye ayr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21/3/2014 tarihi itibar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muayenehane hari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planlamaya tabi hi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bir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sa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unda kadrolu olarak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mayan tabipler, bu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 alt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ba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vuruda bulunmak kayd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sa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kadro 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ici olarak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abilir. Bu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ekildeki ge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ici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ma, tabiplere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nelik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ahsi bir hak olup,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sa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ktesep kadro hakk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vermez. Tabiplerin bu haklar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kurulu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 ayr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ba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kurulu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ta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mak istemesi halinde de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devam eder.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</w:t>
                  </w:r>
                  <w:proofErr w:type="gramStart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15/2/2008</w:t>
                  </w:r>
                  <w:proofErr w:type="gramEnd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sa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nda,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belgesi 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zenlenmeksizin herhangi bir 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rede sigortal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belgeleyen ve 31/12/2013-21/3/2014 tarihleri aras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muayenehane hari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planlamaya tabi hi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bir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sa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unda kadrolu olarak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mayan tabipler, bu 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 alt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ba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vuruda bulunmak ko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uluyla bir defaya mahsus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sa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kadro 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ici olarak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abilir. Bu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ekilde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ma, tabiplere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nelik bir hak olup,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sa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ktesep kadro hakk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vermez. Bu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ekilde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 tabibin,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sa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ayr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ba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sa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talebi 19 uncu madde kapsam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erlendirilir.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Ek-1/a say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ekinin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1- A ve B Tipi 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Merkezlerinde Ruhsatname Ba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vurusu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Gerekli Belgeler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10 uncu maddesinin birinci c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mlesinde yer alan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T.C. Kimlik Numaras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beyan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adli sicil beyan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ve 11 inci maddesinin birinci c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mlesinde yer alan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tabip odas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belgesi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adli sicil beyan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2- Polikliniklerde Ruhsatname Ba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vurusu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Gerekli Belgeler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9 uncu maddesinin birinci c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mlesinde yer alan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T.C. Kimlik Numaras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beyan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adli sicil beyan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4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ile 10 uncu maddesi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3-</w:t>
                  </w:r>
                  <w:proofErr w:type="spellStart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Laboratuvar</w:t>
                  </w:r>
                  <w:proofErr w:type="spellEnd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/M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essese Ruhsatname Ba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vurusu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stenen Belgeler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</w:t>
                  </w:r>
                  <w:proofErr w:type="gramStart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</w:t>
                  </w:r>
                  <w:proofErr w:type="gramEnd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Laboratuvar</w:t>
                  </w:r>
                  <w:proofErr w:type="spellEnd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essese Ruhsat Ba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Dosyas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Bulunmas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Belgeler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15 inci madde eklenmi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4) Poliklini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oldu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binada yang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tedbirlerin 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ilgili mevzuata g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yetkili mercilerden 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belge,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10) Poliklinikte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acak tabip ve di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tabipleri 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adli sicil beyan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ilgili oda kayd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 ile poliklinik orta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tabipler, poliklinikte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acak tabip ve tabip harici sa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iki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adet vesikal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foto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raflar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15. Tabip ve di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tabipleri 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ilgili oda kayd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 ve adli sicil beyan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Ek-1/b say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ekinin 3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yer alan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T.C. Kimlik Numaras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Beyan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adli sicil beyan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ve 4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(b) bendinde yer alan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poliklinik orta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tabiplerin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adli sicil beyan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Ek-1/d say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ekinin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yedinci maddeleri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Muayenehane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acak olan tabibin diplomas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varsa uzmanl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belgesinin 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tasdikli sureti, adli sicil beyan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tabip odas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belgesi ile iki adet vesikal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foto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7) Muayenehanenin bulundu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mda ilgili mevzuata g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yang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tedbirlerin 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yetkili merciden 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belge,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17 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Ek-6 say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ekinde yer alan 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eyyide Formunun 3, 4, 9, 10, 11, 12, 24, 26, 27 ve 28 inci sat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34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eklenmi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formun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klamalar b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(g) bendinin sonuna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c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 ve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bentler eklenmi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447"/>
                    <w:gridCol w:w="2043"/>
                    <w:gridCol w:w="2040"/>
                    <w:gridCol w:w="1998"/>
                    <w:gridCol w:w="1977"/>
                  </w:tblGrid>
                  <w:tr w:rsidR="00CD6AB9" w:rsidRPr="00CD6AB9">
                    <w:trPr>
                      <w:jc w:val="center"/>
                    </w:trPr>
                    <w:tc>
                      <w:tcPr>
                        <w:tcW w:w="2638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Konu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Müeyyideler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1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1.Tespit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2. Tespit</w:t>
                        </w:r>
                      </w:p>
                    </w:tc>
                    <w:tc>
                      <w:tcPr>
                        <w:tcW w:w="21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3. Tespit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21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Sağlık kuruluşu tarafından hasta bilgilerin gizliliği 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lastRenderedPageBreak/>
                          <w:t>ilkelerinin ihlal edildiğinin tespiti halinde</w:t>
                        </w:r>
                      </w:p>
                    </w:tc>
                    <w:tc>
                      <w:tcPr>
                        <w:tcW w:w="21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lastRenderedPageBreak/>
                          <w:t>Sağlık kuruluşunun ilgili biriminin faaliyeti üç gün süreyle durdurulur.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Sağlık kuruluşunun faaliyeti 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üç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gün süreyle durdurulur.</w:t>
                        </w:r>
                      </w:p>
                    </w:tc>
                    <w:tc>
                      <w:tcPr>
                        <w:tcW w:w="21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Sağlık kuruluşunun faaliyeti 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on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gün süreyle durdurulur.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lastRenderedPageBreak/>
                          <w:t>4</w:t>
                        </w:r>
                      </w:p>
                    </w:tc>
                    <w:tc>
                      <w:tcPr>
                        <w:tcW w:w="21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Sağlık kuruluşunda, Bakanlıkça uzmanlık belgesi verilmeyen tabiplerin uzman olarak </w:t>
                        </w:r>
                        <w:proofErr w:type="gramStart"/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ve  kanunen</w:t>
                        </w:r>
                        <w:proofErr w:type="gramEnd"/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mesleğini icra yetkisi bulunmayan   tabiplerin çalıştırıldığının tespiti halinde</w:t>
                        </w:r>
                      </w:p>
                    </w:tc>
                    <w:tc>
                      <w:tcPr>
                        <w:tcW w:w="21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Bakanlık onayı ve Valilikçe sağlık kuruluşunun 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ilgili biriminin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faaliyeti 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otuz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gün süreyle durdurulur ve kişiler hakkında savcılığa suç duyurusunda bulunulur.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Bakanlık onayı ve Valilikçe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sağlık kuruluşunun faaliyeti 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on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gün süreyle durdurulur 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ve kişiler hakkında  Cumhuriyet Savcılığına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 suç duyurusunda bulunulur.</w:t>
                        </w:r>
                      </w:p>
                    </w:tc>
                    <w:tc>
                      <w:tcPr>
                        <w:tcW w:w="21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Bakanlık onayı ve Valilikçe sağlık kuruluşunun faaliyeti üç ay süreyle durdurulur ve kişiler hakkında  Cumhuriyet Savcılığına  suç duyurusunda bulunulur.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</w:t>
                        </w:r>
                      </w:p>
                    </w:tc>
                    <w:tc>
                      <w:tcPr>
                        <w:tcW w:w="21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Başkasına ait tabip kaşesi, diğer tabip veya personel tarafından kullanıldığının tespiti halinde</w:t>
                        </w:r>
                      </w:p>
                    </w:tc>
                    <w:tc>
                      <w:tcPr>
                        <w:tcW w:w="21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Sağlık kuruluşu, bir önceki aya ait brüt hizmet gelirinin binde üçü oranında idarî para cezası ile cezalandırılır.</w:t>
                        </w:r>
                      </w:p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Kullanan ve kullandıran kişiler hakkında savcılığa suç duyurusunda bulunulur.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Sağlık kuruluşu, bir önceki aya ait brüt hizmet gelirinin binde altısı oranında idarî para cezası ile cezalandırılır. </w:t>
                        </w:r>
                      </w:p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Kullanan ve kullandıran kişiler hakkında savcılığa suç duyurusunda bulunulur.</w:t>
                        </w:r>
                      </w:p>
                    </w:tc>
                    <w:tc>
                      <w:tcPr>
                        <w:tcW w:w="21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Sağlık kuruluşunun faaliyeti bir gün süreyle durdurulur. </w:t>
                        </w:r>
                      </w:p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Kullanan ve kullandıran kişiler hakkında savcılığa suç duyurusunda bulunulur.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</w:t>
                        </w:r>
                      </w:p>
                    </w:tc>
                    <w:tc>
                      <w:tcPr>
                        <w:tcW w:w="21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Yönetmeliğin 12 </w:t>
                        </w:r>
                        <w:proofErr w:type="spellStart"/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nci</w:t>
                        </w:r>
                        <w:proofErr w:type="spellEnd"/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maddesinin ikinci ve üçüncü fıkrası </w:t>
                        </w:r>
                        <w:proofErr w:type="gramStart"/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ile  31</w:t>
                        </w:r>
                        <w:proofErr w:type="gramEnd"/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inci maddesinin birinci fıkrasının (f) bendine aykırılık halinde</w:t>
                        </w:r>
                      </w:p>
                    </w:tc>
                    <w:tc>
                      <w:tcPr>
                        <w:tcW w:w="21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Sağlık kuruluşu, bir önceki aya ait brüt hizmet gelirinin binde biri oranında idarî para cezası ile cezalandırılır. Ayrıca gerekli düzenlemelerin yapılması için on beş gün süre verilir.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Sağlık kuruluşu, bir önceki aya ait brüt hizmet gelirinin binde ikisi oranında idarî para cezası ile cezalandırılır.  Ayrıca gerekli düzenlemelerin yapılması için on beş gün süre verilir.</w:t>
                        </w:r>
                      </w:p>
                    </w:tc>
                    <w:tc>
                      <w:tcPr>
                        <w:tcW w:w="21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Sağlık kuruluşunun faaliyeti beş gün süreyle durdurulur.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</w:t>
                        </w:r>
                      </w:p>
                    </w:tc>
                    <w:tc>
                      <w:tcPr>
                        <w:tcW w:w="21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Yönetmeliğin 12/A, 12/Ç maddesinin birinci fıkrasının (ç), (d) ve (g)bentleri hariç diğer betlerine, 12/D maddesinin birinci fıkrasının (d), (f) ve (g) bentleri hariç diğer bentlerine ve 25 inci maddesine, 31 inci maddesinin birinci fıkrasının (n) bendi ile Ek 1 inci maddesinin 17 </w:t>
                        </w:r>
                        <w:proofErr w:type="spellStart"/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nci</w:t>
                        </w:r>
                        <w:proofErr w:type="spellEnd"/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fıkrasına aykırılık halinde</w:t>
                        </w:r>
                        <w:proofErr w:type="gramEnd"/>
                      </w:p>
                    </w:tc>
                    <w:tc>
                      <w:tcPr>
                        <w:tcW w:w="21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Sağlık kuruluşu, bir önceki aya ait brüt hizmet gelirinin binde biri oranında idarî para cezası ile cezalandırılır. Ayrıca gerekli düzenlemelerin yapılması için on beş gün süre verilir.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Sağlık kuruluşu, bir önceki aya ait brüt hizmet gelirinin binde ikisi oranında idarî para cezası ile cezalandırılır. Ayrıca gerekli düzenlemelerin yapılması için on beş gün süre verilir.</w:t>
                        </w:r>
                      </w:p>
                    </w:tc>
                    <w:tc>
                      <w:tcPr>
                        <w:tcW w:w="21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İlgili bölümün faaliyeti yedi gün süreyle durdurulur.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12</w:t>
                        </w:r>
                      </w:p>
                    </w:tc>
                    <w:tc>
                      <w:tcPr>
                        <w:tcW w:w="21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Yönetmeliğin 11 inci maddesine, 12/B maddesine,  12/C maddesine, 12/Ç maddesinin birinci fıkrasının (d) ve (g) bendi ile 12/D maddesinin birinci fıkrasının (f) ve (g) bentlerine ve 31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inci maddesinin birinci fıkrasının( n) bendine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lastRenderedPageBreak/>
                          <w:t>aykırılık halinde</w:t>
                        </w:r>
                      </w:p>
                    </w:tc>
                    <w:tc>
                      <w:tcPr>
                        <w:tcW w:w="21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lastRenderedPageBreak/>
                          <w:t>Sağlık kuruluşu, bir önceki aya ait brüt hizmet gelirinin binde biri oranında idarî para cezası ile cezalandırılır. Ayrıca gerekli düzenlemelerin yapılması için otuz gün süre verilir.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Sağlık kuruluşu, bir önceki aya ait brüt hizmet gelirinin binde ikisi oranında idarî para cezası ile cezalandırılır. Ayrıca gerekli düzenlemelerin yapılması için otuz gün süre verilir.</w:t>
                        </w:r>
                      </w:p>
                    </w:tc>
                    <w:tc>
                      <w:tcPr>
                        <w:tcW w:w="21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Sağlık kuruluşunun faaliyeti beş gün süreyle durdurulur.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lastRenderedPageBreak/>
                          <w:t>24</w:t>
                        </w:r>
                      </w:p>
                    </w:tc>
                    <w:tc>
                      <w:tcPr>
                        <w:tcW w:w="21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Yönetmeliğin 12/Ç maddesinin birinci fıkrasının (ç) bendine, 12/D maddesinin birinci fıkrasının (d) </w:t>
                        </w:r>
                        <w:proofErr w:type="gramStart"/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bendine , 27</w:t>
                        </w:r>
                        <w:proofErr w:type="gramEnd"/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nci</w:t>
                        </w:r>
                        <w:proofErr w:type="spellEnd"/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ve 28 inci maddeleri ile Ek 1 inci maddesinin 12 </w:t>
                        </w:r>
                        <w:proofErr w:type="spellStart"/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nci</w:t>
                        </w:r>
                        <w:proofErr w:type="spellEnd"/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fıkralarına aykırılık halinde </w:t>
                        </w:r>
                      </w:p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1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Uyarı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Uyarı</w:t>
                        </w:r>
                      </w:p>
                    </w:tc>
                    <w:tc>
                      <w:tcPr>
                        <w:tcW w:w="21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Sağlık kuruluşu, bir önceki aya ait brüt hizmet gelirinin yüzde biri oranında idarî para cezası ile cezalandırılır.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26</w:t>
                        </w:r>
                      </w:p>
                    </w:tc>
                    <w:tc>
                      <w:tcPr>
                        <w:tcW w:w="21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Yönetmeliğin 31 inci maddesinin birinci fıkrasının (ğ) bendine aykırılık halinde</w:t>
                        </w:r>
                      </w:p>
                    </w:tc>
                    <w:tc>
                      <w:tcPr>
                        <w:tcW w:w="21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Sağlık kuruluşunun ilgili birimin   faaliyeti 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on gün süreyle durdurulur. Ayrıca cumhuriyet savcılığına suç duyurusunda bulunulur.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Sağlık kuruluşunun faaliyeti on gün süreyle durdurulur. Ayrıca cumhuriyet savcılığına suç duyurusunda bulunulur.</w:t>
                        </w:r>
                      </w:p>
                    </w:tc>
                    <w:tc>
                      <w:tcPr>
                        <w:tcW w:w="21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Sağlık kuruluşunun faaliyeti on gün süreyle durdurulur. Ayrıca cumhuriyet savcılığına suç duyurusunda bulunulur.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27</w:t>
                        </w:r>
                      </w:p>
                    </w:tc>
                    <w:tc>
                      <w:tcPr>
                        <w:tcW w:w="21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Yönetmeliğin 31 inci maddesinin birinci fıkrasının (h) bendine aykırılık halinde</w:t>
                        </w:r>
                      </w:p>
                    </w:tc>
                    <w:tc>
                      <w:tcPr>
                        <w:tcW w:w="21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Sağlık kuruluşu, bir önceki aya ait brüt hizmet gelirinin binde üçü oranında idarî para cezası ile cezalandırılır. Bu kapsamda yetkisiz sağlık hizmeti sunulduğunun tespiti halinde 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ilgili birimin  faaliyeti bir ay süreyle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 durdurulur, ayrıca Cumhuriyet Savcılığına suç duyurusunda bulunulur.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Sağlık kuruluşu, bir önceki aya ait brüt hizmet gelirinin binde altısı oranında idarî para cezası ile cezalandırılır. Bu kapsamda yetkisiz sağlık hizmeti sunulduğunun tespiti halinde 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sağlık kuruluşunun faaliyeti bir ay süreyle 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durdurulur, ayrıca Cumhuriyet Savcılığına suç duyurusunda bulunulur.</w:t>
                        </w:r>
                      </w:p>
                    </w:tc>
                    <w:tc>
                      <w:tcPr>
                        <w:tcW w:w="21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Sağlık kuruluşunun faaliyeti 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bir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gün süreyle durdurulur. Bu kapsamda yetkisiz sağlık hizmeti sunulduğunun tespiti halinde 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sağlık kuruluşunun faaliyeti üç ay süreyle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durdurulur, ayrıca Cumhuriyet Savcılığına suç duyurusunda bulunulur.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28</w:t>
                        </w:r>
                      </w:p>
                    </w:tc>
                    <w:tc>
                      <w:tcPr>
                        <w:tcW w:w="21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Yönetmeliğin 31 inci maddesinin birinci fıkrasının (j) ve (k) </w:t>
                        </w:r>
                        <w:proofErr w:type="spellStart"/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bendlerine</w:t>
                        </w:r>
                        <w:proofErr w:type="spellEnd"/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aykırılık halinde</w:t>
                        </w:r>
                      </w:p>
                    </w:tc>
                    <w:tc>
                      <w:tcPr>
                        <w:tcW w:w="21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Sağlık kuruluşunun 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ilgili biriminin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faaliyeti 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on</w:t>
                        </w: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gün süreyle durdurulur.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Sağlık kuruluşunun yedi gün süreyle faaliyeti durdurulur.</w:t>
                        </w:r>
                      </w:p>
                    </w:tc>
                    <w:tc>
                      <w:tcPr>
                        <w:tcW w:w="21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Sağlık kuruluşunun faaliyeti on gün süreyle durdurulur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34</w:t>
                        </w:r>
                      </w:p>
                    </w:tc>
                    <w:tc>
                      <w:tcPr>
                        <w:tcW w:w="21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Yönetmeliğin 31 inci maddesinin birinci fıkrasının (ç) bendine aykırılık halinde</w:t>
                        </w:r>
                      </w:p>
                    </w:tc>
                    <w:tc>
                      <w:tcPr>
                        <w:tcW w:w="21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Sağlık kuruluşu, bir önceki aya ait brüt hizmet gelirinin binde biri oranında idarî para cezası ile cezalandırılır.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Sağlık kuruluşu, bir önceki aya ait brüt hizmet gelirinin binde ikisi oranında idarî para cezası ile cezalandırılır.</w:t>
                        </w:r>
                      </w:p>
                    </w:tc>
                    <w:tc>
                      <w:tcPr>
                        <w:tcW w:w="21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Sağlık kuruluşunun faaliyeti beş gün süreyle durdurulur.</w:t>
                        </w:r>
                      </w:p>
                    </w:tc>
                  </w:tr>
                </w:tbl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unun tamam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ilgili biriminin faaliyette bulunmamas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sebebiyle uygulanamayan faaliyet durdurma 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eyyideleri faaliyete ge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 en ge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6 ay 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uygulan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eyyide formunun 20 </w:t>
                  </w:r>
                  <w:proofErr w:type="spellStart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ihlali halinde Sosyal G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Kurumu taraf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ayn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hususa ili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idari para cezas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uygulanmas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bu maddede belirlenen 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eyyide uygulanmaz.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 birimin faaliyetinin durdurulmas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eyyide, ilgili uzmanl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dal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acil hasta hari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yeni hasta kabul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durdurulmas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uygulan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CD6AB9" w:rsidRPr="00CD6AB9" w:rsidRDefault="00CD6AB9" w:rsidP="00CD6AB9">
                  <w:pPr>
                    <w:tabs>
                      <w:tab w:val="left" w:pos="566"/>
                    </w:tabs>
                    <w:spacing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19 </w:t>
                  </w:r>
                  <w:r w:rsidRPr="00CD6AB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Sa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Bakan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D6AB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56"/>
                    <w:gridCol w:w="3809"/>
                    <w:gridCol w:w="4240"/>
                  </w:tblGrid>
                  <w:tr w:rsidR="00CD6AB9" w:rsidRPr="00CD6AB9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in Yay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15/2/2008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26788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netmelikte De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ş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iklik Yapan Y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netmeliklerin Yay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CD6AB9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CD6AB9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lastRenderedPageBreak/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23/7/2008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26945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CD6AB9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11/3/2009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27166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CD6AB9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31/12/2009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27449 5. Mükerrer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CD6AB9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10/3/2010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27517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CD6AB9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3/8/2010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27661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CD6AB9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6-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25/9/2010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27710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CD6AB9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7-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6/1/2011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27807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CD6AB9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8-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7/4/2011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27898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CD6AB9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9-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3/8/2011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28014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CD6AB9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10-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28/9/2011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28068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CD6AB9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14/2/2012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28204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CD6AB9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3/4/2012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28253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CD6AB9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27/5/2012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28305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CD6AB9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11/7/2013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28704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CD6AB9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15-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21/3/2014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28948</w:t>
                        </w:r>
                      </w:p>
                    </w:tc>
                  </w:tr>
                  <w:tr w:rsidR="00CD6AB9" w:rsidRPr="00CD6AB9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D6AB9" w:rsidRPr="00CD6AB9" w:rsidRDefault="00CD6AB9" w:rsidP="00CD6AB9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CD6AB9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16-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3/7/2014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D6AB9" w:rsidRPr="00CD6AB9" w:rsidRDefault="00CD6AB9" w:rsidP="00CD6AB9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D6AB9">
                          <w:rPr>
                            <w:rFonts w:ascii="Times New Roman" w:eastAsia="Times New Roman" w:hAnsi="Times New Roman" w:cs="Calibri"/>
                            <w:sz w:val="18"/>
                            <w:szCs w:val="18"/>
                            <w:lang w:eastAsia="tr-TR"/>
                          </w:rPr>
                          <w:t>29049</w:t>
                        </w:r>
                      </w:p>
                    </w:tc>
                  </w:tr>
                </w:tbl>
                <w:p w:rsidR="00CD6AB9" w:rsidRPr="00CD6AB9" w:rsidRDefault="00CD6AB9" w:rsidP="00CD6AB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CD6AB9" w:rsidRPr="00CD6AB9" w:rsidRDefault="00CD6AB9" w:rsidP="00CD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D6AB9" w:rsidRPr="00CD6AB9" w:rsidRDefault="00CD6AB9" w:rsidP="00CD6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25293" w:rsidRDefault="00925293"/>
    <w:sectPr w:rsidR="00925293" w:rsidSect="00925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AB9"/>
    <w:rsid w:val="00925293"/>
    <w:rsid w:val="00CD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2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D6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CD6AB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CD6AB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CD6AB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1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1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2492</Words>
  <Characters>14206</Characters>
  <Application>Microsoft Office Word</Application>
  <DocSecurity>0</DocSecurity>
  <Lines>118</Lines>
  <Paragraphs>33</Paragraphs>
  <ScaleCrop>false</ScaleCrop>
  <Company/>
  <LinksUpToDate>false</LinksUpToDate>
  <CharactersWithSpaces>16665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2015-01-30T06:36:00Z</dcterms:created>
  <dcterms:modified xsi:type="dcterms:W3CDTF">2015-01-30T06:36:00Z</dcterms:modified>
</cp:coreProperties>
</file>