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F0AB8" w:rsidRPr="00CF0AB8" w:rsidTr="00CF0AB8">
        <w:trPr>
          <w:jc w:val="center"/>
        </w:trPr>
        <w:tc>
          <w:tcPr>
            <w:tcW w:w="9104" w:type="dxa"/>
            <w:hideMark/>
          </w:tcPr>
          <w:tbl>
            <w:tblPr>
              <w:tblW w:w="8789" w:type="dxa"/>
              <w:jc w:val="center"/>
              <w:tblLook w:val="01E0"/>
            </w:tblPr>
            <w:tblGrid>
              <w:gridCol w:w="2931"/>
              <w:gridCol w:w="2931"/>
              <w:gridCol w:w="2927"/>
            </w:tblGrid>
            <w:tr w:rsidR="00CF0AB8" w:rsidRPr="00CF0AB8">
              <w:trPr>
                <w:trHeight w:val="317"/>
                <w:jc w:val="center"/>
              </w:trPr>
              <w:tc>
                <w:tcPr>
                  <w:tcW w:w="2931" w:type="dxa"/>
                  <w:tcBorders>
                    <w:top w:val="nil"/>
                    <w:left w:val="nil"/>
                    <w:bottom w:val="single" w:sz="4" w:space="0" w:color="660066"/>
                    <w:right w:val="nil"/>
                  </w:tcBorders>
                  <w:vAlign w:val="center"/>
                  <w:hideMark/>
                </w:tcPr>
                <w:p w:rsidR="00CF0AB8" w:rsidRPr="00CF0AB8" w:rsidRDefault="00CF0AB8" w:rsidP="00CF0AB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F0AB8">
                    <w:rPr>
                      <w:rFonts w:ascii="Arial" w:eastAsia="Times New Roman" w:hAnsi="Arial" w:cs="Arial"/>
                      <w:sz w:val="16"/>
                      <w:szCs w:val="16"/>
                      <w:lang w:eastAsia="tr-TR"/>
                    </w:rPr>
                    <w:t>27 Şubat 2015 CUMA</w:t>
                  </w:r>
                </w:p>
              </w:tc>
              <w:tc>
                <w:tcPr>
                  <w:tcW w:w="2931" w:type="dxa"/>
                  <w:tcBorders>
                    <w:top w:val="nil"/>
                    <w:left w:val="nil"/>
                    <w:bottom w:val="single" w:sz="4" w:space="0" w:color="660066"/>
                    <w:right w:val="nil"/>
                  </w:tcBorders>
                  <w:vAlign w:val="center"/>
                  <w:hideMark/>
                </w:tcPr>
                <w:p w:rsidR="00CF0AB8" w:rsidRPr="00CF0AB8" w:rsidRDefault="00CF0AB8" w:rsidP="00CF0AB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F0AB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F0AB8" w:rsidRPr="00CF0AB8" w:rsidRDefault="00CF0AB8" w:rsidP="00CF0AB8">
                  <w:pPr>
                    <w:spacing w:before="100" w:beforeAutospacing="1" w:after="100" w:afterAutospacing="1" w:line="240" w:lineRule="auto"/>
                    <w:jc w:val="right"/>
                    <w:rPr>
                      <w:rFonts w:ascii="Arial" w:eastAsia="Times New Roman" w:hAnsi="Arial" w:cs="Arial"/>
                      <w:sz w:val="16"/>
                      <w:szCs w:val="16"/>
                      <w:lang w:eastAsia="tr-TR"/>
                    </w:rPr>
                  </w:pPr>
                  <w:proofErr w:type="gramStart"/>
                  <w:r w:rsidRPr="00CF0AB8">
                    <w:rPr>
                      <w:rFonts w:ascii="Arial" w:eastAsia="Times New Roman" w:hAnsi="Arial" w:cs="Arial"/>
                      <w:sz w:val="16"/>
                      <w:szCs w:val="16"/>
                      <w:lang w:eastAsia="tr-TR"/>
                    </w:rPr>
                    <w:t>Sayı : 29280</w:t>
                  </w:r>
                  <w:proofErr w:type="gramEnd"/>
                </w:p>
              </w:tc>
            </w:tr>
            <w:tr w:rsidR="00CF0AB8" w:rsidRPr="00CF0AB8">
              <w:trPr>
                <w:trHeight w:val="480"/>
                <w:jc w:val="center"/>
              </w:trPr>
              <w:tc>
                <w:tcPr>
                  <w:tcW w:w="8789" w:type="dxa"/>
                  <w:gridSpan w:val="3"/>
                  <w:vAlign w:val="center"/>
                  <w:hideMark/>
                </w:tcPr>
                <w:p w:rsidR="00CF0AB8" w:rsidRPr="00CF0AB8" w:rsidRDefault="00CF0AB8" w:rsidP="00CF0AB8">
                  <w:pPr>
                    <w:spacing w:before="100" w:beforeAutospacing="1" w:after="100" w:afterAutospacing="1" w:line="240" w:lineRule="auto"/>
                    <w:jc w:val="center"/>
                    <w:rPr>
                      <w:rFonts w:ascii="Arial" w:eastAsia="Times New Roman" w:hAnsi="Arial" w:cs="Arial"/>
                      <w:b/>
                      <w:color w:val="000080"/>
                      <w:sz w:val="18"/>
                      <w:szCs w:val="18"/>
                      <w:lang w:eastAsia="tr-TR"/>
                    </w:rPr>
                  </w:pPr>
                  <w:r w:rsidRPr="00CF0AB8">
                    <w:rPr>
                      <w:rFonts w:ascii="Arial" w:eastAsia="Times New Roman" w:hAnsi="Arial" w:cs="Arial"/>
                      <w:b/>
                      <w:color w:val="000080"/>
                      <w:sz w:val="18"/>
                      <w:szCs w:val="18"/>
                      <w:lang w:eastAsia="tr-TR"/>
                    </w:rPr>
                    <w:t>TEBLİĞ</w:t>
                  </w:r>
                </w:p>
              </w:tc>
            </w:tr>
            <w:tr w:rsidR="00CF0AB8" w:rsidRPr="00CF0AB8">
              <w:trPr>
                <w:trHeight w:val="480"/>
                <w:jc w:val="center"/>
              </w:trPr>
              <w:tc>
                <w:tcPr>
                  <w:tcW w:w="8789" w:type="dxa"/>
                  <w:gridSpan w:val="3"/>
                  <w:vAlign w:val="center"/>
                </w:tcPr>
                <w:p w:rsidR="00CF0AB8" w:rsidRPr="00CF0AB8" w:rsidRDefault="00CF0AB8" w:rsidP="00CF0AB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F0AB8">
                    <w:rPr>
                      <w:rFonts w:ascii="Times New Roman" w:eastAsia="Times New Roman" w:hAnsi="Times New Roman" w:cs="Times New Roman"/>
                      <w:sz w:val="18"/>
                      <w:szCs w:val="18"/>
                      <w:u w:val="single"/>
                      <w:lang w:eastAsia="tr-TR"/>
                    </w:rPr>
                    <w:t>Sermaye Piyasası Kurulundan:</w:t>
                  </w:r>
                </w:p>
                <w:p w:rsidR="00CF0AB8" w:rsidRPr="00CF0AB8" w:rsidRDefault="00CF0AB8" w:rsidP="00CF0AB8">
                  <w:pPr>
                    <w:tabs>
                      <w:tab w:val="left" w:pos="566"/>
                    </w:tabs>
                    <w:spacing w:before="56" w:after="0" w:line="240" w:lineRule="exact"/>
                    <w:jc w:val="center"/>
                    <w:rPr>
                      <w:rFonts w:ascii="Times New Roman" w:eastAsia="Times New Roman" w:hAnsi="Times New Roman" w:cs="Times New Roman"/>
                      <w:b/>
                      <w:sz w:val="18"/>
                      <w:szCs w:val="18"/>
                      <w:lang w:eastAsia="tr-TR"/>
                    </w:rPr>
                  </w:pPr>
                  <w:r w:rsidRPr="00CF0AB8">
                    <w:rPr>
                      <w:rFonts w:ascii="Times New Roman" w:eastAsia="Times New Roman" w:hAnsi="Times New Roman" w:cs="Times New Roman"/>
                      <w:b/>
                      <w:sz w:val="18"/>
                      <w:szCs w:val="18"/>
                      <w:lang w:eastAsia="tr-TR"/>
                    </w:rPr>
                    <w:t>ÖNEMLİ NİTELİKTEKİ İŞLEMLERE İLİŞKİN ORTAK ESASLAR VE AYRILMA</w:t>
                  </w:r>
                </w:p>
                <w:p w:rsidR="00CF0AB8" w:rsidRPr="00CF0AB8" w:rsidRDefault="00CF0AB8" w:rsidP="00CF0AB8">
                  <w:pPr>
                    <w:tabs>
                      <w:tab w:val="left" w:pos="566"/>
                    </w:tabs>
                    <w:spacing w:after="0" w:line="240" w:lineRule="exact"/>
                    <w:jc w:val="center"/>
                    <w:rPr>
                      <w:rFonts w:ascii="Times New Roman" w:eastAsia="Times New Roman" w:hAnsi="Times New Roman" w:cs="Times New Roman"/>
                      <w:b/>
                      <w:sz w:val="18"/>
                      <w:szCs w:val="18"/>
                      <w:lang w:eastAsia="tr-TR"/>
                    </w:rPr>
                  </w:pPr>
                  <w:r w:rsidRPr="00CF0AB8">
                    <w:rPr>
                      <w:rFonts w:ascii="Times New Roman" w:eastAsia="Times New Roman" w:hAnsi="Times New Roman" w:cs="Times New Roman"/>
                      <w:b/>
                      <w:sz w:val="18"/>
                      <w:szCs w:val="18"/>
                      <w:lang w:eastAsia="tr-TR"/>
                    </w:rPr>
                    <w:t>HAKKI TEBLİĞİ (II-</w:t>
                  </w:r>
                  <w:proofErr w:type="gramStart"/>
                  <w:r w:rsidRPr="00CF0AB8">
                    <w:rPr>
                      <w:rFonts w:ascii="Times New Roman" w:eastAsia="Times New Roman" w:hAnsi="Times New Roman" w:cs="Times New Roman"/>
                      <w:b/>
                      <w:sz w:val="18"/>
                      <w:szCs w:val="18"/>
                      <w:lang w:eastAsia="tr-TR"/>
                    </w:rPr>
                    <w:t>23.1</w:t>
                  </w:r>
                  <w:proofErr w:type="gramEnd"/>
                  <w:r w:rsidRPr="00CF0AB8">
                    <w:rPr>
                      <w:rFonts w:ascii="Times New Roman" w:eastAsia="Times New Roman" w:hAnsi="Times New Roman" w:cs="Times New Roman"/>
                      <w:b/>
                      <w:sz w:val="18"/>
                      <w:szCs w:val="18"/>
                      <w:lang w:eastAsia="tr-TR"/>
                    </w:rPr>
                    <w:t>)’NDE DEĞİŞİKLİK YAPILMASINA DAİR TEBLİĞ</w:t>
                  </w:r>
                </w:p>
                <w:p w:rsidR="00CF0AB8" w:rsidRPr="00CF0AB8" w:rsidRDefault="00CF0AB8" w:rsidP="00CF0AB8">
                  <w:pPr>
                    <w:tabs>
                      <w:tab w:val="left" w:pos="566"/>
                    </w:tabs>
                    <w:spacing w:after="170" w:line="240" w:lineRule="exact"/>
                    <w:jc w:val="center"/>
                    <w:rPr>
                      <w:rFonts w:ascii="Times New Roman" w:eastAsia="Times New Roman" w:hAnsi="Times New Roman" w:cs="Times New Roman"/>
                      <w:b/>
                      <w:sz w:val="18"/>
                      <w:szCs w:val="18"/>
                      <w:lang w:eastAsia="tr-TR"/>
                    </w:rPr>
                  </w:pPr>
                  <w:r w:rsidRPr="00CF0AB8">
                    <w:rPr>
                      <w:rFonts w:ascii="Times New Roman" w:eastAsia="Times New Roman" w:hAnsi="Times New Roman" w:cs="Times New Roman"/>
                      <w:b/>
                      <w:sz w:val="18"/>
                      <w:szCs w:val="18"/>
                      <w:lang w:eastAsia="tr-TR"/>
                    </w:rPr>
                    <w:t>(II-</w:t>
                  </w:r>
                  <w:proofErr w:type="gramStart"/>
                  <w:r w:rsidRPr="00CF0AB8">
                    <w:rPr>
                      <w:rFonts w:ascii="Times New Roman" w:eastAsia="Times New Roman" w:hAnsi="Times New Roman" w:cs="Times New Roman"/>
                      <w:b/>
                      <w:sz w:val="18"/>
                      <w:szCs w:val="18"/>
                      <w:lang w:eastAsia="tr-TR"/>
                    </w:rPr>
                    <w:t>23.1</w:t>
                  </w:r>
                  <w:proofErr w:type="gramEnd"/>
                  <w:r w:rsidRPr="00CF0AB8">
                    <w:rPr>
                      <w:rFonts w:ascii="Times New Roman" w:eastAsia="Times New Roman" w:hAnsi="Times New Roman" w:cs="Times New Roman"/>
                      <w:b/>
                      <w:sz w:val="18"/>
                      <w:szCs w:val="18"/>
                      <w:lang w:eastAsia="tr-TR"/>
                    </w:rPr>
                    <w:t>.a)</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b/>
                      <w:sz w:val="18"/>
                      <w:szCs w:val="18"/>
                      <w:lang w:eastAsia="tr-TR"/>
                    </w:rPr>
                    <w:t>MADDE 1 –</w:t>
                  </w:r>
                  <w:r w:rsidRPr="00CF0AB8">
                    <w:rPr>
                      <w:rFonts w:ascii="Times New Roman" w:eastAsia="Times New Roman" w:hAnsi="Times New Roman" w:cs="Times New Roman"/>
                      <w:sz w:val="18"/>
                      <w:szCs w:val="18"/>
                      <w:lang w:eastAsia="tr-TR"/>
                    </w:rPr>
                    <w:t xml:space="preserve"> </w:t>
                  </w:r>
                  <w:proofErr w:type="gramStart"/>
                  <w:r w:rsidRPr="00CF0AB8">
                    <w:rPr>
                      <w:rFonts w:ascii="Times New Roman" w:eastAsia="Times New Roman" w:hAnsi="Times New Roman" w:cs="Times New Roman"/>
                      <w:sz w:val="18"/>
                      <w:szCs w:val="18"/>
                      <w:lang w:eastAsia="tr-TR"/>
                    </w:rPr>
                    <w:t>24/12/2013</w:t>
                  </w:r>
                  <w:proofErr w:type="gramEnd"/>
                  <w:r w:rsidRPr="00CF0AB8">
                    <w:rPr>
                      <w:rFonts w:ascii="Times New Roman" w:eastAsia="Times New Roman" w:hAnsi="Times New Roman" w:cs="Times New Roman"/>
                      <w:sz w:val="18"/>
                      <w:szCs w:val="18"/>
                      <w:lang w:eastAsia="tr-TR"/>
                    </w:rPr>
                    <w:t xml:space="preserve"> tarihli ve 28861 sayılı Resmî Gazete’de yayımlanan Önemli Nitelikteki İşlemlere İlişkin Ortak Esaslar ve Ayrılma Hakkı Tebliği (II-23.1)’</w:t>
                  </w:r>
                  <w:proofErr w:type="spellStart"/>
                  <w:r w:rsidRPr="00CF0AB8">
                    <w:rPr>
                      <w:rFonts w:ascii="Times New Roman" w:eastAsia="Times New Roman" w:hAnsi="Times New Roman" w:cs="Times New Roman"/>
                      <w:sz w:val="18"/>
                      <w:szCs w:val="18"/>
                      <w:lang w:eastAsia="tr-TR"/>
                    </w:rPr>
                    <w:t>nin</w:t>
                  </w:r>
                  <w:proofErr w:type="spellEnd"/>
                  <w:r w:rsidRPr="00CF0AB8">
                    <w:rPr>
                      <w:rFonts w:ascii="Times New Roman" w:eastAsia="Times New Roman" w:hAnsi="Times New Roman" w:cs="Times New Roman"/>
                      <w:sz w:val="18"/>
                      <w:szCs w:val="18"/>
                      <w:lang w:eastAsia="tr-TR"/>
                    </w:rPr>
                    <w:t xml:space="preserve"> 5 inci maddesinin birinci fıkrasının (f) bendi yürürlükten kaldırılmıştır.</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b/>
                      <w:sz w:val="18"/>
                      <w:szCs w:val="18"/>
                      <w:lang w:eastAsia="tr-TR"/>
                    </w:rPr>
                    <w:t xml:space="preserve">MADDE 2 – </w:t>
                  </w:r>
                  <w:r w:rsidRPr="00CF0AB8">
                    <w:rPr>
                      <w:rFonts w:ascii="Times New Roman" w:eastAsia="Times New Roman" w:hAnsi="Times New Roman" w:cs="Times New Roman"/>
                      <w:sz w:val="18"/>
                      <w:szCs w:val="18"/>
                      <w:lang w:eastAsia="tr-TR"/>
                    </w:rPr>
                    <w:t>Aynı Tebliğin 11 inci maddesinin birinci fıkrası aşağıdaki şekilde değiştirilmiştir.</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sz w:val="18"/>
                      <w:szCs w:val="18"/>
                      <w:lang w:eastAsia="tr-TR"/>
                    </w:rPr>
                    <w:t xml:space="preserve">“(1) 5 inci maddenin birinci fıkrasında sayılan önemli nitelikteki işlemlerden (ç) ve (d) bentlerinde belirtilenler için, bu işlemlerden yararlanacak olanlar tarafından, (a) bendinde belirtilenler için ise, devrolunan ve payları borsada işlem gören ortaklığın, payları borsada işlem görmeyen ve birleşmeye esas olan finansal tabloları itibariyle aktif toplamı daha büyük olan bir ortaklık ile birleşmesinde, devralan ortaklıkta birleşme işlemi öncesi </w:t>
                  </w:r>
                  <w:proofErr w:type="gramStart"/>
                  <w:r w:rsidRPr="00CF0AB8">
                    <w:rPr>
                      <w:rFonts w:ascii="Times New Roman" w:eastAsia="Times New Roman" w:hAnsi="Times New Roman" w:cs="Times New Roman"/>
                      <w:sz w:val="18"/>
                      <w:szCs w:val="18"/>
                      <w:lang w:eastAsia="tr-TR"/>
                    </w:rPr>
                    <w:t>hakim</w:t>
                  </w:r>
                  <w:proofErr w:type="gramEnd"/>
                  <w:r w:rsidRPr="00CF0AB8">
                    <w:rPr>
                      <w:rFonts w:ascii="Times New Roman" w:eastAsia="Times New Roman" w:hAnsi="Times New Roman" w:cs="Times New Roman"/>
                      <w:sz w:val="18"/>
                      <w:szCs w:val="18"/>
                      <w:lang w:eastAsia="tr-TR"/>
                    </w:rPr>
                    <w:t xml:space="preserve"> ortak konumunda olanlar ile bunlarla birlikte hareket edenler tarafından pay alım teklifinde bulunulması zorunludur. Bu durumda pay alım teklifi fiyatı 10 uncu maddedeki esaslar çerçevesinde belirlenir.”</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b/>
                      <w:sz w:val="18"/>
                      <w:szCs w:val="18"/>
                      <w:lang w:eastAsia="tr-TR"/>
                    </w:rPr>
                    <w:t xml:space="preserve">MADDE 3 – </w:t>
                  </w:r>
                  <w:r w:rsidRPr="00CF0AB8">
                    <w:rPr>
                      <w:rFonts w:ascii="Times New Roman" w:eastAsia="Times New Roman" w:hAnsi="Times New Roman" w:cs="Times New Roman"/>
                      <w:sz w:val="18"/>
                      <w:szCs w:val="18"/>
                      <w:lang w:eastAsia="tr-TR"/>
                    </w:rPr>
                    <w:t xml:space="preserve">Aynı Tebliğe aşağıdaki geçici madde eklenmiştir. </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b/>
                      <w:sz w:val="18"/>
                      <w:szCs w:val="18"/>
                      <w:lang w:eastAsia="tr-TR"/>
                    </w:rPr>
                  </w:pPr>
                  <w:r w:rsidRPr="00CF0AB8">
                    <w:rPr>
                      <w:rFonts w:ascii="Times New Roman" w:eastAsia="Times New Roman" w:hAnsi="Times New Roman" w:cs="Times New Roman"/>
                      <w:b/>
                      <w:sz w:val="18"/>
                      <w:szCs w:val="18"/>
                      <w:lang w:eastAsia="tr-TR"/>
                    </w:rPr>
                    <w:t>“Mevcut başvuruların sonuçlandırılması</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b/>
                      <w:sz w:val="18"/>
                      <w:szCs w:val="18"/>
                      <w:lang w:eastAsia="tr-TR"/>
                    </w:rPr>
                    <w:t>GEÇİCİ MADDE 2 –</w:t>
                  </w:r>
                  <w:r w:rsidRPr="00CF0AB8">
                    <w:rPr>
                      <w:rFonts w:ascii="Times New Roman" w:eastAsia="Times New Roman" w:hAnsi="Times New Roman" w:cs="Times New Roman"/>
                      <w:sz w:val="18"/>
                      <w:szCs w:val="18"/>
                      <w:lang w:eastAsia="tr-TR"/>
                    </w:rPr>
                    <w:t xml:space="preserve"> (1) Bu maddenin yürürlüğe girdiği tarihte Kurulca karara bağlanmamış başvurular, bu Tebliğ hükümlerine göre sonuçlandırılır.”</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b/>
                      <w:sz w:val="18"/>
                      <w:szCs w:val="18"/>
                      <w:lang w:eastAsia="tr-TR"/>
                    </w:rPr>
                    <w:t>MADDE 4 –</w:t>
                  </w:r>
                  <w:r w:rsidRPr="00CF0AB8">
                    <w:rPr>
                      <w:rFonts w:ascii="Times New Roman" w:eastAsia="Times New Roman" w:hAnsi="Times New Roman" w:cs="Times New Roman"/>
                      <w:sz w:val="18"/>
                      <w:szCs w:val="18"/>
                      <w:lang w:eastAsia="tr-TR"/>
                    </w:rPr>
                    <w:t xml:space="preserve"> Bu Tebliğ yayımı tarihinde yürürlüğe girer.</w:t>
                  </w:r>
                </w:p>
                <w:p w:rsidR="00CF0AB8" w:rsidRPr="00CF0AB8" w:rsidRDefault="00CF0AB8" w:rsidP="00CF0AB8">
                  <w:pPr>
                    <w:spacing w:before="100" w:beforeAutospacing="1" w:after="100" w:afterAutospacing="1" w:line="240" w:lineRule="exact"/>
                    <w:rPr>
                      <w:rFonts w:ascii="Times New Roman" w:eastAsia="Times New Roman" w:hAnsi="Times New Roman" w:cs="Times New Roman"/>
                      <w:sz w:val="18"/>
                      <w:szCs w:val="18"/>
                      <w:lang w:eastAsia="tr-TR"/>
                    </w:rPr>
                  </w:pPr>
                  <w:r w:rsidRPr="00CF0AB8">
                    <w:rPr>
                      <w:rFonts w:ascii="Times New Roman" w:eastAsia="Times New Roman" w:hAnsi="Times New Roman" w:cs="Times New Roman"/>
                      <w:b/>
                      <w:sz w:val="18"/>
                      <w:szCs w:val="18"/>
                      <w:lang w:eastAsia="tr-TR"/>
                    </w:rPr>
                    <w:t>MADDE 5 –</w:t>
                  </w:r>
                  <w:r w:rsidRPr="00CF0AB8">
                    <w:rPr>
                      <w:rFonts w:ascii="Times New Roman" w:eastAsia="Times New Roman" w:hAnsi="Times New Roman" w:cs="Times New Roman"/>
                      <w:sz w:val="18"/>
                      <w:szCs w:val="18"/>
                      <w:lang w:eastAsia="tr-TR"/>
                    </w:rPr>
                    <w:t xml:space="preserve"> Bu Tebliğ hükümlerini Sermaye Piyasası Kurulu yürütür.</w:t>
                  </w:r>
                </w:p>
                <w:p w:rsidR="00CF0AB8" w:rsidRPr="00CF0AB8" w:rsidRDefault="00CF0AB8" w:rsidP="00CF0AB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F0AB8" w:rsidRPr="00CF0AB8" w:rsidRDefault="00CF0AB8" w:rsidP="00CF0AB8">
            <w:pPr>
              <w:spacing w:after="0" w:line="240" w:lineRule="auto"/>
              <w:jc w:val="center"/>
              <w:rPr>
                <w:rFonts w:ascii="Times New Roman" w:eastAsia="Times New Roman" w:hAnsi="Times New Roman" w:cs="Times New Roman"/>
                <w:sz w:val="20"/>
                <w:szCs w:val="20"/>
                <w:lang w:eastAsia="tr-TR"/>
              </w:rPr>
            </w:pPr>
          </w:p>
        </w:tc>
      </w:tr>
    </w:tbl>
    <w:p w:rsidR="00CF0AB8" w:rsidRPr="00CF0AB8" w:rsidRDefault="00CF0AB8" w:rsidP="00CF0AB8">
      <w:pPr>
        <w:spacing w:after="0" w:line="240" w:lineRule="auto"/>
        <w:jc w:val="center"/>
        <w:rPr>
          <w:rFonts w:ascii="Times New Roman" w:eastAsia="Times New Roman" w:hAnsi="Times New Roman" w:cs="Times New Roman"/>
          <w:sz w:val="24"/>
          <w:szCs w:val="24"/>
          <w:lang w:eastAsia="tr-TR"/>
        </w:rPr>
      </w:pPr>
    </w:p>
    <w:p w:rsidR="00490363" w:rsidRDefault="00490363"/>
    <w:sectPr w:rsidR="00490363" w:rsidSect="004903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CF0AB8"/>
    <w:rsid w:val="00490363"/>
    <w:rsid w:val="00CF0A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3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F0A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F0AB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F0AB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F0A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50340107">
      <w:bodyDiv w:val="1"/>
      <w:marLeft w:val="0"/>
      <w:marRight w:val="0"/>
      <w:marTop w:val="0"/>
      <w:marBottom w:val="0"/>
      <w:divBdr>
        <w:top w:val="none" w:sz="0" w:space="0" w:color="auto"/>
        <w:left w:val="none" w:sz="0" w:space="0" w:color="auto"/>
        <w:bottom w:val="none" w:sz="0" w:space="0" w:color="auto"/>
        <w:right w:val="none" w:sz="0" w:space="0" w:color="auto"/>
      </w:divBdr>
      <w:divsChild>
        <w:div w:id="1548906206">
          <w:marLeft w:val="0"/>
          <w:marRight w:val="0"/>
          <w:marTop w:val="0"/>
          <w:marBottom w:val="0"/>
          <w:divBdr>
            <w:top w:val="none" w:sz="0" w:space="0" w:color="auto"/>
            <w:left w:val="none" w:sz="0" w:space="0" w:color="auto"/>
            <w:bottom w:val="none" w:sz="0" w:space="0" w:color="auto"/>
            <w:right w:val="none" w:sz="0" w:space="0" w:color="auto"/>
          </w:divBdr>
          <w:divsChild>
            <w:div w:id="1709376698">
              <w:marLeft w:val="0"/>
              <w:marRight w:val="0"/>
              <w:marTop w:val="0"/>
              <w:marBottom w:val="0"/>
              <w:divBdr>
                <w:top w:val="none" w:sz="0" w:space="0" w:color="auto"/>
                <w:left w:val="none" w:sz="0" w:space="0" w:color="auto"/>
                <w:bottom w:val="none" w:sz="0" w:space="0" w:color="auto"/>
                <w:right w:val="none" w:sz="0" w:space="0" w:color="auto"/>
              </w:divBdr>
              <w:divsChild>
                <w:div w:id="1040205271">
                  <w:marLeft w:val="0"/>
                  <w:marRight w:val="0"/>
                  <w:marTop w:val="0"/>
                  <w:marBottom w:val="0"/>
                  <w:divBdr>
                    <w:top w:val="none" w:sz="0" w:space="0" w:color="auto"/>
                    <w:left w:val="none" w:sz="0" w:space="0" w:color="auto"/>
                    <w:bottom w:val="none" w:sz="0" w:space="0" w:color="auto"/>
                    <w:right w:val="none" w:sz="0" w:space="0" w:color="auto"/>
                  </w:divBdr>
                  <w:divsChild>
                    <w:div w:id="13024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2015-02-27T06:39:00Z</dcterms:created>
  <dcterms:modified xsi:type="dcterms:W3CDTF">2015-02-27T06:39:00Z</dcterms:modified>
</cp:coreProperties>
</file>