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D7F09" w:rsidRPr="00BD7F09" w:rsidTr="00BD7F09">
        <w:trPr>
          <w:jc w:val="center"/>
        </w:trPr>
        <w:tc>
          <w:tcPr>
            <w:tcW w:w="9104" w:type="dxa"/>
            <w:hideMark/>
          </w:tcPr>
          <w:tbl>
            <w:tblPr>
              <w:tblW w:w="8789" w:type="dxa"/>
              <w:jc w:val="center"/>
              <w:tblLook w:val="01E0"/>
            </w:tblPr>
            <w:tblGrid>
              <w:gridCol w:w="2931"/>
              <w:gridCol w:w="2931"/>
              <w:gridCol w:w="2927"/>
            </w:tblGrid>
            <w:tr w:rsidR="00BD7F09" w:rsidRPr="00BD7F09">
              <w:trPr>
                <w:trHeight w:val="317"/>
                <w:jc w:val="center"/>
              </w:trPr>
              <w:tc>
                <w:tcPr>
                  <w:tcW w:w="2931" w:type="dxa"/>
                  <w:tcBorders>
                    <w:top w:val="nil"/>
                    <w:left w:val="nil"/>
                    <w:bottom w:val="single" w:sz="4" w:space="0" w:color="660066"/>
                    <w:right w:val="nil"/>
                  </w:tcBorders>
                  <w:vAlign w:val="center"/>
                  <w:hideMark/>
                </w:tcPr>
                <w:p w:rsidR="00BD7F09" w:rsidRPr="00BD7F09" w:rsidRDefault="00BD7F09" w:rsidP="00BD7F0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D7F09">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BD7F09" w:rsidRPr="00BD7F09" w:rsidRDefault="00BD7F09" w:rsidP="00BD7F0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D7F0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D7F09" w:rsidRPr="00BD7F09" w:rsidRDefault="00BD7F09" w:rsidP="00BD7F09">
                  <w:pPr>
                    <w:spacing w:before="100" w:beforeAutospacing="1" w:after="100" w:afterAutospacing="1" w:line="240" w:lineRule="auto"/>
                    <w:jc w:val="right"/>
                    <w:rPr>
                      <w:rFonts w:ascii="Arial" w:eastAsia="Times New Roman" w:hAnsi="Arial" w:cs="Arial"/>
                      <w:sz w:val="16"/>
                      <w:szCs w:val="16"/>
                      <w:lang w:eastAsia="tr-TR"/>
                    </w:rPr>
                  </w:pPr>
                  <w:proofErr w:type="gramStart"/>
                  <w:r w:rsidRPr="00BD7F09">
                    <w:rPr>
                      <w:rFonts w:ascii="Arial" w:eastAsia="Times New Roman" w:hAnsi="Arial" w:cs="Arial"/>
                      <w:sz w:val="16"/>
                      <w:szCs w:val="16"/>
                      <w:lang w:eastAsia="tr-TR"/>
                    </w:rPr>
                    <w:t>Sayı : 29280</w:t>
                  </w:r>
                  <w:proofErr w:type="gramEnd"/>
                </w:p>
              </w:tc>
            </w:tr>
            <w:tr w:rsidR="00BD7F09" w:rsidRPr="00BD7F09">
              <w:trPr>
                <w:trHeight w:val="480"/>
                <w:jc w:val="center"/>
              </w:trPr>
              <w:tc>
                <w:tcPr>
                  <w:tcW w:w="8789" w:type="dxa"/>
                  <w:gridSpan w:val="3"/>
                  <w:vAlign w:val="center"/>
                  <w:hideMark/>
                </w:tcPr>
                <w:p w:rsidR="00BD7F09" w:rsidRPr="00BD7F09" w:rsidRDefault="00BD7F09" w:rsidP="00BD7F09">
                  <w:pPr>
                    <w:spacing w:before="100" w:beforeAutospacing="1" w:after="100" w:afterAutospacing="1" w:line="240" w:lineRule="auto"/>
                    <w:jc w:val="center"/>
                    <w:rPr>
                      <w:rFonts w:ascii="Arial" w:eastAsia="Times New Roman" w:hAnsi="Arial" w:cs="Arial"/>
                      <w:b/>
                      <w:color w:val="000080"/>
                      <w:sz w:val="18"/>
                      <w:szCs w:val="18"/>
                      <w:lang w:eastAsia="tr-TR"/>
                    </w:rPr>
                  </w:pPr>
                  <w:r w:rsidRPr="00BD7F09">
                    <w:rPr>
                      <w:rFonts w:ascii="Arial" w:eastAsia="Times New Roman" w:hAnsi="Arial" w:cs="Arial"/>
                      <w:b/>
                      <w:color w:val="000080"/>
                      <w:sz w:val="18"/>
                      <w:szCs w:val="18"/>
                      <w:lang w:eastAsia="tr-TR"/>
                    </w:rPr>
                    <w:t>TEBLİĞ</w:t>
                  </w:r>
                </w:p>
              </w:tc>
            </w:tr>
            <w:tr w:rsidR="00BD7F09" w:rsidRPr="00BD7F09">
              <w:trPr>
                <w:trHeight w:val="480"/>
                <w:jc w:val="center"/>
              </w:trPr>
              <w:tc>
                <w:tcPr>
                  <w:tcW w:w="8789" w:type="dxa"/>
                  <w:gridSpan w:val="3"/>
                  <w:vAlign w:val="center"/>
                </w:tcPr>
                <w:p w:rsidR="00BD7F09" w:rsidRPr="00BD7F09" w:rsidRDefault="00BD7F09" w:rsidP="00BD7F0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D7F09">
                    <w:rPr>
                      <w:rFonts w:ascii="Times New Roman" w:eastAsia="Times New Roman" w:hAnsi="Times New Roman" w:cs="Times New Roman"/>
                      <w:sz w:val="18"/>
                      <w:szCs w:val="18"/>
                      <w:u w:val="single"/>
                      <w:lang w:eastAsia="tr-TR"/>
                    </w:rPr>
                    <w:t>Sermaye Piyasası Kurulundan:</w:t>
                  </w:r>
                </w:p>
                <w:p w:rsidR="00BD7F09" w:rsidRPr="00BD7F09" w:rsidRDefault="00BD7F09" w:rsidP="00BD7F09">
                  <w:pPr>
                    <w:spacing w:before="56" w:after="100" w:afterAutospacing="1" w:line="240" w:lineRule="exact"/>
                    <w:jc w:val="center"/>
                    <w:rPr>
                      <w:rFonts w:ascii="Times New Roman" w:eastAsia="Times New Roman" w:hAnsi="Times New Roman" w:cs="Times New Roman"/>
                      <w:b/>
                      <w:sz w:val="18"/>
                      <w:szCs w:val="18"/>
                      <w:lang w:eastAsia="tr-TR"/>
                    </w:rPr>
                  </w:pPr>
                  <w:r w:rsidRPr="00BD7F09">
                    <w:rPr>
                      <w:rFonts w:ascii="Times New Roman" w:eastAsia="Times New Roman" w:hAnsi="Times New Roman" w:cs="Times New Roman"/>
                      <w:b/>
                      <w:sz w:val="18"/>
                      <w:szCs w:val="18"/>
                      <w:lang w:eastAsia="tr-TR"/>
                    </w:rPr>
                    <w:t>BİRLEŞME VE BÖLÜNME TEBLİĞİ (II-</w:t>
                  </w:r>
                  <w:proofErr w:type="gramStart"/>
                  <w:r w:rsidRPr="00BD7F09">
                    <w:rPr>
                      <w:rFonts w:ascii="Times New Roman" w:eastAsia="Times New Roman" w:hAnsi="Times New Roman" w:cs="Times New Roman"/>
                      <w:b/>
                      <w:sz w:val="18"/>
                      <w:szCs w:val="18"/>
                      <w:lang w:eastAsia="tr-TR"/>
                    </w:rPr>
                    <w:t>23.2</w:t>
                  </w:r>
                  <w:proofErr w:type="gramEnd"/>
                  <w:r w:rsidRPr="00BD7F09">
                    <w:rPr>
                      <w:rFonts w:ascii="Times New Roman" w:eastAsia="Times New Roman" w:hAnsi="Times New Roman" w:cs="Times New Roman"/>
                      <w:b/>
                      <w:sz w:val="18"/>
                      <w:szCs w:val="18"/>
                      <w:lang w:eastAsia="tr-TR"/>
                    </w:rPr>
                    <w:t>)’NDE DEĞİŞİKLİK</w:t>
                  </w:r>
                </w:p>
                <w:p w:rsidR="00BD7F09" w:rsidRPr="00BD7F09" w:rsidRDefault="00BD7F09" w:rsidP="00BD7F09">
                  <w:pPr>
                    <w:spacing w:before="100" w:beforeAutospacing="1" w:after="100" w:afterAutospacing="1" w:line="240" w:lineRule="exact"/>
                    <w:jc w:val="center"/>
                    <w:rPr>
                      <w:rFonts w:ascii="Times New Roman" w:eastAsia="Times New Roman" w:hAnsi="Times New Roman" w:cs="Times New Roman"/>
                      <w:b/>
                      <w:sz w:val="18"/>
                      <w:szCs w:val="18"/>
                      <w:lang w:eastAsia="tr-TR"/>
                    </w:rPr>
                  </w:pPr>
                  <w:r w:rsidRPr="00BD7F09">
                    <w:rPr>
                      <w:rFonts w:ascii="Times New Roman" w:eastAsia="Times New Roman" w:hAnsi="Times New Roman" w:cs="Times New Roman"/>
                      <w:b/>
                      <w:sz w:val="18"/>
                      <w:szCs w:val="18"/>
                      <w:lang w:eastAsia="tr-TR"/>
                    </w:rPr>
                    <w:t>YAPILMASINA DAİR TEBLİĞ</w:t>
                  </w:r>
                </w:p>
                <w:p w:rsidR="00BD7F09" w:rsidRPr="00BD7F09" w:rsidRDefault="00BD7F09" w:rsidP="00BD7F09">
                  <w:pPr>
                    <w:spacing w:before="100" w:beforeAutospacing="1" w:after="170" w:line="240" w:lineRule="exact"/>
                    <w:jc w:val="center"/>
                    <w:rPr>
                      <w:rFonts w:ascii="Times New Roman" w:eastAsia="Times New Roman" w:hAnsi="Times New Roman" w:cs="Times New Roman"/>
                      <w:b/>
                      <w:sz w:val="18"/>
                      <w:szCs w:val="18"/>
                      <w:lang w:eastAsia="tr-TR"/>
                    </w:rPr>
                  </w:pPr>
                  <w:r w:rsidRPr="00BD7F09">
                    <w:rPr>
                      <w:rFonts w:ascii="Times New Roman" w:eastAsia="Times New Roman" w:hAnsi="Times New Roman" w:cs="Times New Roman"/>
                      <w:b/>
                      <w:sz w:val="18"/>
                      <w:szCs w:val="18"/>
                      <w:lang w:eastAsia="tr-TR"/>
                    </w:rPr>
                    <w:t>(II-</w:t>
                  </w:r>
                  <w:proofErr w:type="gramStart"/>
                  <w:r w:rsidRPr="00BD7F09">
                    <w:rPr>
                      <w:rFonts w:ascii="Times New Roman" w:eastAsia="Times New Roman" w:hAnsi="Times New Roman" w:cs="Times New Roman"/>
                      <w:b/>
                      <w:sz w:val="18"/>
                      <w:szCs w:val="18"/>
                      <w:lang w:eastAsia="tr-TR"/>
                    </w:rPr>
                    <w:t>23.2</w:t>
                  </w:r>
                  <w:proofErr w:type="gramEnd"/>
                  <w:r w:rsidRPr="00BD7F09">
                    <w:rPr>
                      <w:rFonts w:ascii="Times New Roman" w:eastAsia="Times New Roman" w:hAnsi="Times New Roman" w:cs="Times New Roman"/>
                      <w:b/>
                      <w:sz w:val="18"/>
                      <w:szCs w:val="18"/>
                      <w:lang w:eastAsia="tr-TR"/>
                    </w:rPr>
                    <w:t>.a)</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b/>
                      <w:sz w:val="18"/>
                      <w:szCs w:val="18"/>
                      <w:lang w:eastAsia="tr-TR"/>
                    </w:rPr>
                    <w:t xml:space="preserve">MADDE 1 – </w:t>
                  </w:r>
                  <w:proofErr w:type="gramStart"/>
                  <w:r w:rsidRPr="00BD7F09">
                    <w:rPr>
                      <w:rFonts w:ascii="Times New Roman" w:eastAsia="Times New Roman" w:hAnsi="Times New Roman" w:cs="Times New Roman"/>
                      <w:sz w:val="18"/>
                      <w:szCs w:val="18"/>
                      <w:lang w:eastAsia="tr-TR"/>
                    </w:rPr>
                    <w:t>28/12/2013</w:t>
                  </w:r>
                  <w:proofErr w:type="gramEnd"/>
                  <w:r w:rsidRPr="00BD7F09">
                    <w:rPr>
                      <w:rFonts w:ascii="Times New Roman" w:eastAsia="Times New Roman" w:hAnsi="Times New Roman" w:cs="Times New Roman"/>
                      <w:sz w:val="18"/>
                      <w:szCs w:val="18"/>
                      <w:lang w:eastAsia="tr-TR"/>
                    </w:rPr>
                    <w:t xml:space="preserve"> tarihli ve 28865 sayılı Resmî Gazete’de yayımlanan Birleşme ve Bölünme Tebliği (II-23.2)’</w:t>
                  </w:r>
                  <w:proofErr w:type="spellStart"/>
                  <w:r w:rsidRPr="00BD7F09">
                    <w:rPr>
                      <w:rFonts w:ascii="Times New Roman" w:eastAsia="Times New Roman" w:hAnsi="Times New Roman" w:cs="Times New Roman"/>
                      <w:sz w:val="18"/>
                      <w:szCs w:val="18"/>
                      <w:lang w:eastAsia="tr-TR"/>
                    </w:rPr>
                    <w:t>nin</w:t>
                  </w:r>
                  <w:proofErr w:type="spellEnd"/>
                  <w:r w:rsidRPr="00BD7F09">
                    <w:rPr>
                      <w:rFonts w:ascii="Times New Roman" w:eastAsia="Times New Roman" w:hAnsi="Times New Roman" w:cs="Times New Roman"/>
                      <w:sz w:val="18"/>
                      <w:szCs w:val="18"/>
                      <w:lang w:eastAsia="tr-TR"/>
                    </w:rPr>
                    <w:t xml:space="preserve"> 12 </w:t>
                  </w:r>
                  <w:proofErr w:type="spellStart"/>
                  <w:r w:rsidRPr="00BD7F09">
                    <w:rPr>
                      <w:rFonts w:ascii="Times New Roman" w:eastAsia="Times New Roman" w:hAnsi="Times New Roman" w:cs="Times New Roman"/>
                      <w:sz w:val="18"/>
                      <w:szCs w:val="18"/>
                      <w:lang w:eastAsia="tr-TR"/>
                    </w:rPr>
                    <w:t>nci</w:t>
                  </w:r>
                  <w:proofErr w:type="spellEnd"/>
                  <w:r w:rsidRPr="00BD7F09">
                    <w:rPr>
                      <w:rFonts w:ascii="Times New Roman" w:eastAsia="Times New Roman" w:hAnsi="Times New Roman" w:cs="Times New Roman"/>
                      <w:sz w:val="18"/>
                      <w:szCs w:val="18"/>
                      <w:lang w:eastAsia="tr-TR"/>
                    </w:rPr>
                    <w:t xml:space="preserve"> maddesinin altıncı fıkrası aşağıdaki şekilde değiştirilmiştir.</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sz w:val="18"/>
                      <w:szCs w:val="18"/>
                      <w:lang w:eastAsia="tr-TR"/>
                    </w:rPr>
                    <w:t xml:space="preserve">“(6) Payları borsada işlem görmeyen bir şirketin devralan taraf olduğu birleşme işlemlerinde devralan ortaklıkların, sermaye ile kanuni yedek akçelerin toplamının tamamının karşılıksız kalması hariç olmak üzere, </w:t>
                  </w:r>
                  <w:proofErr w:type="gramStart"/>
                  <w:r w:rsidRPr="00BD7F09">
                    <w:rPr>
                      <w:rFonts w:ascii="Times New Roman" w:eastAsia="Times New Roman" w:hAnsi="Times New Roman" w:cs="Times New Roman"/>
                      <w:sz w:val="18"/>
                      <w:szCs w:val="18"/>
                      <w:lang w:eastAsia="tr-TR"/>
                    </w:rPr>
                    <w:t>22/6/2013</w:t>
                  </w:r>
                  <w:proofErr w:type="gramEnd"/>
                  <w:r w:rsidRPr="00BD7F09">
                    <w:rPr>
                      <w:rFonts w:ascii="Times New Roman" w:eastAsia="Times New Roman" w:hAnsi="Times New Roman" w:cs="Times New Roman"/>
                      <w:sz w:val="18"/>
                      <w:szCs w:val="18"/>
                      <w:lang w:eastAsia="tr-TR"/>
                    </w:rPr>
                    <w:t xml:space="preserve"> tarihli ve 28685 sayılı Resmî Gazete’de yayımlanan Pay Tebliği (VII-128.1)’</w:t>
                  </w:r>
                  <w:proofErr w:type="spellStart"/>
                  <w:r w:rsidRPr="00BD7F09">
                    <w:rPr>
                      <w:rFonts w:ascii="Times New Roman" w:eastAsia="Times New Roman" w:hAnsi="Times New Roman" w:cs="Times New Roman"/>
                      <w:sz w:val="18"/>
                      <w:szCs w:val="18"/>
                      <w:lang w:eastAsia="tr-TR"/>
                    </w:rPr>
                    <w:t>nin</w:t>
                  </w:r>
                  <w:proofErr w:type="spellEnd"/>
                  <w:r w:rsidRPr="00BD7F09">
                    <w:rPr>
                      <w:rFonts w:ascii="Times New Roman" w:eastAsia="Times New Roman" w:hAnsi="Times New Roman" w:cs="Times New Roman"/>
                      <w:sz w:val="18"/>
                      <w:szCs w:val="18"/>
                      <w:lang w:eastAsia="tr-TR"/>
                    </w:rPr>
                    <w:t xml:space="preserve"> 5 inci maddesinin ikinci fıkrasında belirlenen Kanun kapsamından çıkma şartlarını sağlamamaları gerekir. Birleşme sonucunda devralan şirketin birleşme öncesindeki payları, şirket paylarının borsada işlem görmeye başladığı tarihten sonraki 6 aylık dönemde borsada satılamaz. </w:t>
                  </w:r>
                  <w:proofErr w:type="gramStart"/>
                  <w:r w:rsidRPr="00BD7F09">
                    <w:rPr>
                      <w:rFonts w:ascii="Times New Roman" w:eastAsia="Times New Roman" w:hAnsi="Times New Roman" w:cs="Times New Roman"/>
                      <w:sz w:val="18"/>
                      <w:szCs w:val="18"/>
                      <w:lang w:eastAsia="tr-TR"/>
                    </w:rPr>
                    <w:t xml:space="preserve">Söz konusu payların; devrolunan ve payları borsada işlem gören ortaklığın birleşme işleminin kamuya açıklandığı tarih itibariyle fiili dolaşımdaki pay miktarının en fazla yarısına tekabül eden miktarı şirket paylarının borsada işlem görmeye başladığı tarihten sonraki 6 </w:t>
                  </w:r>
                  <w:proofErr w:type="spellStart"/>
                  <w:r w:rsidRPr="00BD7F09">
                    <w:rPr>
                      <w:rFonts w:ascii="Times New Roman" w:eastAsia="Times New Roman" w:hAnsi="Times New Roman" w:cs="Times New Roman"/>
                      <w:sz w:val="18"/>
                      <w:szCs w:val="18"/>
                      <w:lang w:eastAsia="tr-TR"/>
                    </w:rPr>
                    <w:t>ncı</w:t>
                  </w:r>
                  <w:proofErr w:type="spellEnd"/>
                  <w:r w:rsidRPr="00BD7F09">
                    <w:rPr>
                      <w:rFonts w:ascii="Times New Roman" w:eastAsia="Times New Roman" w:hAnsi="Times New Roman" w:cs="Times New Roman"/>
                      <w:sz w:val="18"/>
                      <w:szCs w:val="18"/>
                      <w:lang w:eastAsia="tr-TR"/>
                    </w:rPr>
                    <w:t xml:space="preserve"> ve 12 </w:t>
                  </w:r>
                  <w:proofErr w:type="spellStart"/>
                  <w:r w:rsidRPr="00BD7F09">
                    <w:rPr>
                      <w:rFonts w:ascii="Times New Roman" w:eastAsia="Times New Roman" w:hAnsi="Times New Roman" w:cs="Times New Roman"/>
                      <w:sz w:val="18"/>
                      <w:szCs w:val="18"/>
                      <w:lang w:eastAsia="tr-TR"/>
                    </w:rPr>
                    <w:t>nci</w:t>
                  </w:r>
                  <w:proofErr w:type="spellEnd"/>
                  <w:r w:rsidRPr="00BD7F09">
                    <w:rPr>
                      <w:rFonts w:ascii="Times New Roman" w:eastAsia="Times New Roman" w:hAnsi="Times New Roman" w:cs="Times New Roman"/>
                      <w:sz w:val="18"/>
                      <w:szCs w:val="18"/>
                      <w:lang w:eastAsia="tr-TR"/>
                    </w:rPr>
                    <w:t xml:space="preserve"> aylar arasındaki dönemde, yine aynı miktardaki bölümü ise şirket paylarının borsada işlem görmeye başladığı tarihten sonraki 12 </w:t>
                  </w:r>
                  <w:proofErr w:type="spellStart"/>
                  <w:r w:rsidRPr="00BD7F09">
                    <w:rPr>
                      <w:rFonts w:ascii="Times New Roman" w:eastAsia="Times New Roman" w:hAnsi="Times New Roman" w:cs="Times New Roman"/>
                      <w:sz w:val="18"/>
                      <w:szCs w:val="18"/>
                      <w:lang w:eastAsia="tr-TR"/>
                    </w:rPr>
                    <w:t>nci</w:t>
                  </w:r>
                  <w:proofErr w:type="spellEnd"/>
                  <w:r w:rsidRPr="00BD7F09">
                    <w:rPr>
                      <w:rFonts w:ascii="Times New Roman" w:eastAsia="Times New Roman" w:hAnsi="Times New Roman" w:cs="Times New Roman"/>
                      <w:sz w:val="18"/>
                      <w:szCs w:val="18"/>
                      <w:lang w:eastAsia="tr-TR"/>
                    </w:rPr>
                    <w:t xml:space="preserve"> ve 24 üncü aylar arasındaki dönemde borsada satılabilir. </w:t>
                  </w:r>
                  <w:proofErr w:type="gramEnd"/>
                  <w:r w:rsidRPr="00BD7F09">
                    <w:rPr>
                      <w:rFonts w:ascii="Times New Roman" w:eastAsia="Times New Roman" w:hAnsi="Times New Roman" w:cs="Times New Roman"/>
                      <w:sz w:val="18"/>
                      <w:szCs w:val="18"/>
                      <w:lang w:eastAsia="tr-TR"/>
                    </w:rPr>
                    <w:t xml:space="preserve">Bu fıkra kapsamında payları borsada işlem görmeyen şirket ortaklarının her birinin borsada ne </w:t>
                  </w:r>
                  <w:proofErr w:type="spellStart"/>
                  <w:r w:rsidRPr="00BD7F09">
                    <w:rPr>
                      <w:rFonts w:ascii="Times New Roman" w:eastAsia="Times New Roman" w:hAnsi="Times New Roman" w:cs="Times New Roman"/>
                      <w:sz w:val="18"/>
                      <w:szCs w:val="18"/>
                      <w:lang w:eastAsia="tr-TR"/>
                    </w:rPr>
                    <w:t>kadarlık</w:t>
                  </w:r>
                  <w:proofErr w:type="spellEnd"/>
                  <w:r w:rsidRPr="00BD7F09">
                    <w:rPr>
                      <w:rFonts w:ascii="Times New Roman" w:eastAsia="Times New Roman" w:hAnsi="Times New Roman" w:cs="Times New Roman"/>
                      <w:sz w:val="18"/>
                      <w:szCs w:val="18"/>
                      <w:lang w:eastAsia="tr-TR"/>
                    </w:rPr>
                    <w:t xml:space="preserve"> pay satışı yapabileceğinin belirlenmesinde, birleşme işleminin görüşüldüğü genel kurul tarihi itibariyle payları borsada işlem görmeyen şirkette sahip olunan pay oranları dikkate alınır.”</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b/>
                      <w:sz w:val="18"/>
                      <w:szCs w:val="18"/>
                      <w:lang w:eastAsia="tr-TR"/>
                    </w:rPr>
                    <w:t xml:space="preserve">MADDE 2 – </w:t>
                  </w:r>
                  <w:r w:rsidRPr="00BD7F09">
                    <w:rPr>
                      <w:rFonts w:ascii="Times New Roman" w:eastAsia="Times New Roman" w:hAnsi="Times New Roman" w:cs="Times New Roman"/>
                      <w:sz w:val="18"/>
                      <w:szCs w:val="18"/>
                      <w:lang w:eastAsia="tr-TR"/>
                    </w:rPr>
                    <w:t>Aynı Tebliğe aşağıdaki geçici madde eklenmiştir.</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b/>
                      <w:sz w:val="18"/>
                      <w:szCs w:val="18"/>
                      <w:lang w:eastAsia="tr-TR"/>
                    </w:rPr>
                  </w:pPr>
                  <w:r w:rsidRPr="00BD7F09">
                    <w:rPr>
                      <w:rFonts w:ascii="Times New Roman" w:eastAsia="Times New Roman" w:hAnsi="Times New Roman" w:cs="Times New Roman"/>
                      <w:b/>
                      <w:sz w:val="18"/>
                      <w:szCs w:val="18"/>
                      <w:lang w:eastAsia="tr-TR"/>
                    </w:rPr>
                    <w:t>“Mevcut başvuruların sonuçlandırılması</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b/>
                      <w:sz w:val="18"/>
                      <w:szCs w:val="18"/>
                      <w:lang w:eastAsia="tr-TR"/>
                    </w:rPr>
                    <w:t xml:space="preserve">GEÇİCİ MADDE 2 – </w:t>
                  </w:r>
                  <w:r w:rsidRPr="00BD7F09">
                    <w:rPr>
                      <w:rFonts w:ascii="Times New Roman" w:eastAsia="Times New Roman" w:hAnsi="Times New Roman" w:cs="Times New Roman"/>
                      <w:sz w:val="18"/>
                      <w:szCs w:val="18"/>
                      <w:lang w:eastAsia="tr-TR"/>
                    </w:rPr>
                    <w:t>(1) Bu maddenin yürürlüğe girdiği tarihte Kurulca karara bağlanmamış başvurular, bu Tebliğ hükümlerine göre sonuçlandırılır.”</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b/>
                      <w:sz w:val="18"/>
                      <w:szCs w:val="18"/>
                      <w:lang w:eastAsia="tr-TR"/>
                    </w:rPr>
                    <w:t>MADDE 3 –</w:t>
                  </w:r>
                  <w:r w:rsidRPr="00BD7F09">
                    <w:rPr>
                      <w:rFonts w:ascii="Times New Roman" w:eastAsia="Times New Roman" w:hAnsi="Times New Roman" w:cs="Times New Roman"/>
                      <w:sz w:val="18"/>
                      <w:szCs w:val="18"/>
                      <w:lang w:eastAsia="tr-TR"/>
                    </w:rPr>
                    <w:t xml:space="preserve"> Bu Tebliğ yayımı tarihinde yürürlüğe girer.</w:t>
                  </w:r>
                </w:p>
                <w:p w:rsidR="00BD7F09" w:rsidRPr="00BD7F09" w:rsidRDefault="00BD7F09" w:rsidP="00BD7F09">
                  <w:pPr>
                    <w:spacing w:before="100" w:beforeAutospacing="1" w:after="100" w:afterAutospacing="1" w:line="240" w:lineRule="exact"/>
                    <w:rPr>
                      <w:rFonts w:ascii="Times New Roman" w:eastAsia="Times New Roman" w:hAnsi="Times New Roman" w:cs="Times New Roman"/>
                      <w:sz w:val="18"/>
                      <w:szCs w:val="18"/>
                      <w:lang w:eastAsia="tr-TR"/>
                    </w:rPr>
                  </w:pPr>
                  <w:r w:rsidRPr="00BD7F09">
                    <w:rPr>
                      <w:rFonts w:ascii="Times New Roman" w:eastAsia="Times New Roman" w:hAnsi="Times New Roman" w:cs="Times New Roman"/>
                      <w:b/>
                      <w:sz w:val="18"/>
                      <w:szCs w:val="18"/>
                      <w:lang w:eastAsia="tr-TR"/>
                    </w:rPr>
                    <w:t xml:space="preserve">MADDE 4 – </w:t>
                  </w:r>
                  <w:r w:rsidRPr="00BD7F09">
                    <w:rPr>
                      <w:rFonts w:ascii="Times New Roman" w:eastAsia="Times New Roman" w:hAnsi="Times New Roman" w:cs="Times New Roman"/>
                      <w:sz w:val="18"/>
                      <w:szCs w:val="18"/>
                      <w:lang w:eastAsia="tr-TR"/>
                    </w:rPr>
                    <w:t>Bu Tebliğ hükümlerini Sermaye Piyasası Kurulu yürütür.</w:t>
                  </w:r>
                </w:p>
                <w:p w:rsidR="00BD7F09" w:rsidRPr="00BD7F09" w:rsidRDefault="00BD7F09" w:rsidP="00BD7F0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D7F09" w:rsidRPr="00BD7F09" w:rsidRDefault="00BD7F09" w:rsidP="00BD7F09">
            <w:pPr>
              <w:spacing w:after="0" w:line="240" w:lineRule="auto"/>
              <w:jc w:val="center"/>
              <w:rPr>
                <w:rFonts w:ascii="Times New Roman" w:eastAsia="Times New Roman" w:hAnsi="Times New Roman" w:cs="Times New Roman"/>
                <w:sz w:val="20"/>
                <w:szCs w:val="20"/>
                <w:lang w:eastAsia="tr-TR"/>
              </w:rPr>
            </w:pPr>
          </w:p>
        </w:tc>
      </w:tr>
    </w:tbl>
    <w:p w:rsidR="00BD7F09" w:rsidRPr="00BD7F09" w:rsidRDefault="00BD7F09" w:rsidP="00BD7F09">
      <w:pPr>
        <w:spacing w:after="0" w:line="240" w:lineRule="auto"/>
        <w:jc w:val="center"/>
        <w:rPr>
          <w:rFonts w:ascii="Times New Roman" w:eastAsia="Times New Roman" w:hAnsi="Times New Roman" w:cs="Times New Roman"/>
          <w:sz w:val="24"/>
          <w:szCs w:val="24"/>
          <w:lang w:eastAsia="tr-TR"/>
        </w:rPr>
      </w:pPr>
    </w:p>
    <w:p w:rsidR="00076CF5" w:rsidRDefault="00076CF5"/>
    <w:sectPr w:rsidR="00076CF5" w:rsidSect="00076C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BD7F09"/>
    <w:rsid w:val="00076CF5"/>
    <w:rsid w:val="00BD7F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C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D7F0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D7F0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BD7F0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45259548">
      <w:bodyDiv w:val="1"/>
      <w:marLeft w:val="0"/>
      <w:marRight w:val="0"/>
      <w:marTop w:val="0"/>
      <w:marBottom w:val="0"/>
      <w:divBdr>
        <w:top w:val="none" w:sz="0" w:space="0" w:color="auto"/>
        <w:left w:val="none" w:sz="0" w:space="0" w:color="auto"/>
        <w:bottom w:val="none" w:sz="0" w:space="0" w:color="auto"/>
        <w:right w:val="none" w:sz="0" w:space="0" w:color="auto"/>
      </w:divBdr>
      <w:divsChild>
        <w:div w:id="1236092809">
          <w:marLeft w:val="0"/>
          <w:marRight w:val="0"/>
          <w:marTop w:val="0"/>
          <w:marBottom w:val="0"/>
          <w:divBdr>
            <w:top w:val="none" w:sz="0" w:space="0" w:color="auto"/>
            <w:left w:val="none" w:sz="0" w:space="0" w:color="auto"/>
            <w:bottom w:val="none" w:sz="0" w:space="0" w:color="auto"/>
            <w:right w:val="none" w:sz="0" w:space="0" w:color="auto"/>
          </w:divBdr>
          <w:divsChild>
            <w:div w:id="2048211760">
              <w:marLeft w:val="0"/>
              <w:marRight w:val="0"/>
              <w:marTop w:val="0"/>
              <w:marBottom w:val="0"/>
              <w:divBdr>
                <w:top w:val="none" w:sz="0" w:space="0" w:color="auto"/>
                <w:left w:val="none" w:sz="0" w:space="0" w:color="auto"/>
                <w:bottom w:val="none" w:sz="0" w:space="0" w:color="auto"/>
                <w:right w:val="none" w:sz="0" w:space="0" w:color="auto"/>
              </w:divBdr>
              <w:divsChild>
                <w:div w:id="916741677">
                  <w:marLeft w:val="0"/>
                  <w:marRight w:val="0"/>
                  <w:marTop w:val="0"/>
                  <w:marBottom w:val="0"/>
                  <w:divBdr>
                    <w:top w:val="none" w:sz="0" w:space="0" w:color="auto"/>
                    <w:left w:val="none" w:sz="0" w:space="0" w:color="auto"/>
                    <w:bottom w:val="none" w:sz="0" w:space="0" w:color="auto"/>
                    <w:right w:val="none" w:sz="0" w:space="0" w:color="auto"/>
                  </w:divBdr>
                  <w:divsChild>
                    <w:div w:id="2503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2015-02-27T06:40:00Z</dcterms:created>
  <dcterms:modified xsi:type="dcterms:W3CDTF">2015-02-27T06:40:00Z</dcterms:modified>
</cp:coreProperties>
</file>