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A7114" w:rsidRPr="007A7114" w:rsidTr="007A7114">
        <w:trPr>
          <w:jc w:val="center"/>
        </w:trPr>
        <w:tc>
          <w:tcPr>
            <w:tcW w:w="9104" w:type="dxa"/>
            <w:hideMark/>
          </w:tcPr>
          <w:tbl>
            <w:tblPr>
              <w:tblW w:w="8789" w:type="dxa"/>
              <w:jc w:val="center"/>
              <w:tblLook w:val="01E0"/>
            </w:tblPr>
            <w:tblGrid>
              <w:gridCol w:w="2931"/>
              <w:gridCol w:w="2931"/>
              <w:gridCol w:w="2927"/>
            </w:tblGrid>
            <w:tr w:rsidR="007A7114" w:rsidRPr="007A7114">
              <w:trPr>
                <w:trHeight w:val="317"/>
                <w:jc w:val="center"/>
              </w:trPr>
              <w:tc>
                <w:tcPr>
                  <w:tcW w:w="2931" w:type="dxa"/>
                  <w:tcBorders>
                    <w:top w:val="nil"/>
                    <w:left w:val="nil"/>
                    <w:bottom w:val="single" w:sz="4" w:space="0" w:color="660066"/>
                    <w:right w:val="nil"/>
                  </w:tcBorders>
                  <w:vAlign w:val="center"/>
                  <w:hideMark/>
                </w:tcPr>
                <w:p w:rsidR="007A7114" w:rsidRPr="007A7114" w:rsidRDefault="007A7114" w:rsidP="007A711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A7114">
                    <w:rPr>
                      <w:rFonts w:ascii="Arial" w:eastAsia="Times New Roman" w:hAnsi="Arial" w:cs="Arial"/>
                      <w:sz w:val="16"/>
                      <w:szCs w:val="16"/>
                      <w:lang w:eastAsia="tr-TR"/>
                    </w:rPr>
                    <w:t>19 Mart 2015 PERŞEMBE</w:t>
                  </w:r>
                </w:p>
              </w:tc>
              <w:tc>
                <w:tcPr>
                  <w:tcW w:w="2931" w:type="dxa"/>
                  <w:tcBorders>
                    <w:top w:val="nil"/>
                    <w:left w:val="nil"/>
                    <w:bottom w:val="single" w:sz="4" w:space="0" w:color="660066"/>
                    <w:right w:val="nil"/>
                  </w:tcBorders>
                  <w:vAlign w:val="center"/>
                  <w:hideMark/>
                </w:tcPr>
                <w:p w:rsidR="007A7114" w:rsidRPr="007A7114" w:rsidRDefault="007A7114" w:rsidP="007A711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A711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A7114" w:rsidRPr="007A7114" w:rsidRDefault="007A7114" w:rsidP="007A7114">
                  <w:pPr>
                    <w:spacing w:before="100" w:beforeAutospacing="1" w:after="100" w:afterAutospacing="1" w:line="240" w:lineRule="auto"/>
                    <w:jc w:val="right"/>
                    <w:rPr>
                      <w:rFonts w:ascii="Arial" w:eastAsia="Times New Roman" w:hAnsi="Arial" w:cs="Arial"/>
                      <w:sz w:val="16"/>
                      <w:szCs w:val="16"/>
                      <w:lang w:eastAsia="tr-TR"/>
                    </w:rPr>
                  </w:pPr>
                  <w:r w:rsidRPr="007A7114">
                    <w:rPr>
                      <w:rFonts w:ascii="Arial" w:eastAsia="Times New Roman" w:hAnsi="Arial" w:cs="Arial"/>
                      <w:sz w:val="16"/>
                      <w:szCs w:val="16"/>
                      <w:lang w:eastAsia="tr-TR"/>
                    </w:rPr>
                    <w:t>Sayı : 29300</w:t>
                  </w:r>
                </w:p>
              </w:tc>
            </w:tr>
            <w:tr w:rsidR="007A7114" w:rsidRPr="007A7114">
              <w:trPr>
                <w:trHeight w:val="480"/>
                <w:jc w:val="center"/>
              </w:trPr>
              <w:tc>
                <w:tcPr>
                  <w:tcW w:w="8789" w:type="dxa"/>
                  <w:gridSpan w:val="3"/>
                  <w:vAlign w:val="center"/>
                  <w:hideMark/>
                </w:tcPr>
                <w:p w:rsidR="007A7114" w:rsidRPr="007A7114" w:rsidRDefault="007A7114" w:rsidP="007A7114">
                  <w:pPr>
                    <w:spacing w:before="100" w:beforeAutospacing="1" w:after="100" w:afterAutospacing="1" w:line="240" w:lineRule="auto"/>
                    <w:jc w:val="center"/>
                    <w:rPr>
                      <w:rFonts w:ascii="Arial" w:eastAsia="Times New Roman" w:hAnsi="Arial" w:cs="Arial"/>
                      <w:b/>
                      <w:color w:val="000080"/>
                      <w:sz w:val="18"/>
                      <w:szCs w:val="18"/>
                      <w:lang w:eastAsia="tr-TR"/>
                    </w:rPr>
                  </w:pPr>
                  <w:r w:rsidRPr="007A7114">
                    <w:rPr>
                      <w:rFonts w:ascii="Arial" w:eastAsia="Times New Roman" w:hAnsi="Arial" w:cs="Arial"/>
                      <w:b/>
                      <w:color w:val="000080"/>
                      <w:sz w:val="18"/>
                      <w:szCs w:val="18"/>
                      <w:lang w:eastAsia="tr-TR"/>
                    </w:rPr>
                    <w:t>YÖNETMELİK</w:t>
                  </w:r>
                </w:p>
              </w:tc>
            </w:tr>
            <w:tr w:rsidR="007A7114" w:rsidRPr="007A7114">
              <w:trPr>
                <w:trHeight w:val="480"/>
                <w:jc w:val="center"/>
              </w:trPr>
              <w:tc>
                <w:tcPr>
                  <w:tcW w:w="8789" w:type="dxa"/>
                  <w:gridSpan w:val="3"/>
                  <w:vAlign w:val="center"/>
                </w:tcPr>
                <w:p w:rsidR="007A7114" w:rsidRPr="007A7114" w:rsidRDefault="007A7114" w:rsidP="007A7114">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7A7114">
                    <w:rPr>
                      <w:rFonts w:ascii="Times New Roman" w:eastAsia="Times New Roman" w:hAnsi="Times New Roman" w:cs="Times New Roman"/>
                      <w:sz w:val="18"/>
                      <w:szCs w:val="18"/>
                      <w:u w:val="single"/>
                      <w:lang w:eastAsia="tr-TR"/>
                    </w:rPr>
                    <w:t>Türkiye Radyo-Televizyon Kurumundan:</w:t>
                  </w:r>
                </w:p>
                <w:p w:rsidR="007A7114" w:rsidRPr="007A7114" w:rsidRDefault="007A7114" w:rsidP="007A7114">
                  <w:pPr>
                    <w:tabs>
                      <w:tab w:val="left" w:pos="566"/>
                    </w:tabs>
                    <w:spacing w:before="56" w:after="0" w:line="240" w:lineRule="exact"/>
                    <w:jc w:val="center"/>
                    <w:rPr>
                      <w:rFonts w:ascii="Times New Roman" w:eastAsia="Times New Roman" w:hAnsi="Times New Roman" w:cs="Times New Roman"/>
                      <w:b/>
                      <w:sz w:val="18"/>
                      <w:szCs w:val="18"/>
                      <w:lang w:eastAsia="tr-TR"/>
                    </w:rPr>
                  </w:pPr>
                  <w:r w:rsidRPr="007A7114">
                    <w:rPr>
                      <w:rFonts w:ascii="Times New Roman" w:eastAsia="Times New Roman" w:hAnsi="Times New Roman" w:cs="Times New Roman"/>
                      <w:b/>
                      <w:sz w:val="18"/>
                      <w:szCs w:val="18"/>
                      <w:lang w:eastAsia="tr-TR"/>
                    </w:rPr>
                    <w:t xml:space="preserve">TÜRKİYE RADYO-TELEVİZYON KURUMUNCA BANDROL VERİLMESİNE İLİŞKİN </w:t>
                  </w:r>
                </w:p>
                <w:p w:rsidR="007A7114" w:rsidRPr="007A7114" w:rsidRDefault="007A7114" w:rsidP="007A7114">
                  <w:pPr>
                    <w:tabs>
                      <w:tab w:val="left" w:pos="566"/>
                    </w:tabs>
                    <w:spacing w:before="56" w:after="0" w:line="240" w:lineRule="exact"/>
                    <w:jc w:val="center"/>
                    <w:rPr>
                      <w:rFonts w:ascii="Times New Roman" w:eastAsia="Times New Roman" w:hAnsi="Times New Roman" w:cs="Times New Roman"/>
                      <w:b/>
                      <w:sz w:val="18"/>
                      <w:szCs w:val="18"/>
                      <w:lang w:eastAsia="tr-TR"/>
                    </w:rPr>
                  </w:pPr>
                  <w:r w:rsidRPr="007A7114">
                    <w:rPr>
                      <w:rFonts w:ascii="Times New Roman" w:eastAsia="Times New Roman" w:hAnsi="Times New Roman" w:cs="Times New Roman"/>
                      <w:b/>
                      <w:sz w:val="18"/>
                      <w:szCs w:val="18"/>
                      <w:lang w:eastAsia="tr-TR"/>
                    </w:rPr>
                    <w:t xml:space="preserve">USUL VE ESASLAR HAKKINDA YÖNETMELİKTE DEĞİŞİKLİK </w:t>
                  </w:r>
                </w:p>
                <w:p w:rsidR="007A7114" w:rsidRPr="007A7114" w:rsidRDefault="007A7114" w:rsidP="007A7114">
                  <w:pPr>
                    <w:tabs>
                      <w:tab w:val="left" w:pos="566"/>
                    </w:tabs>
                    <w:spacing w:before="56" w:after="100" w:line="240" w:lineRule="exact"/>
                    <w:jc w:val="center"/>
                    <w:rPr>
                      <w:rFonts w:ascii="Times New Roman" w:eastAsia="Times New Roman" w:hAnsi="Times New Roman" w:cs="Times New Roman"/>
                      <w:b/>
                      <w:sz w:val="18"/>
                      <w:szCs w:val="18"/>
                      <w:lang w:eastAsia="tr-TR"/>
                    </w:rPr>
                  </w:pPr>
                  <w:r w:rsidRPr="007A7114">
                    <w:rPr>
                      <w:rFonts w:ascii="Times New Roman" w:eastAsia="Times New Roman" w:hAnsi="Times New Roman" w:cs="Times New Roman"/>
                      <w:b/>
                      <w:sz w:val="18"/>
                      <w:szCs w:val="18"/>
                      <w:lang w:eastAsia="tr-TR"/>
                    </w:rPr>
                    <w:t xml:space="preserve">YAPILMASINA DAİR YÖNETMELİK </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b/>
                      <w:sz w:val="18"/>
                      <w:szCs w:val="18"/>
                      <w:lang w:eastAsia="tr-TR"/>
                    </w:rPr>
                    <w:t xml:space="preserve">MADDE 1 – </w:t>
                  </w:r>
                  <w:r w:rsidRPr="007A7114">
                    <w:rPr>
                      <w:rFonts w:ascii="Times New Roman" w:eastAsia="Times New Roman" w:hAnsi="Times New Roman" w:cs="Times New Roman"/>
                      <w:sz w:val="18"/>
                      <w:szCs w:val="18"/>
                      <w:lang w:eastAsia="tr-TR"/>
                    </w:rPr>
                    <w:t>19/9/1998 tarihli ve 23468 sayılı Resmî Gazete’de yayımlanan Türkiye Radyo-Televizyon Kurumunca Bandrol Verilmesine İlişkin Usul ve Esaslar Hakkında Yönetmeliğin 5 inci maddesinin birinci fıkrasının (a) bendinin (8) numaralı alt bendi ile aynı fıkranın (b) bendinin (8) numaralı alt bendi aşağıdaki şekilde değiştirilmiştir.</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sz w:val="18"/>
                      <w:szCs w:val="18"/>
                      <w:lang w:eastAsia="tr-TR"/>
                    </w:rPr>
                    <w:t>“8) Teminat mektubu”</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sz w:val="18"/>
                      <w:szCs w:val="18"/>
                      <w:lang w:eastAsia="tr-TR"/>
                    </w:rPr>
                    <w:t>“8) Teminat mektubu”</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b/>
                      <w:sz w:val="18"/>
                      <w:szCs w:val="18"/>
                      <w:lang w:eastAsia="tr-TR"/>
                    </w:rPr>
                    <w:t>MADDE 2 –</w:t>
                  </w:r>
                  <w:r w:rsidRPr="007A7114">
                    <w:rPr>
                      <w:rFonts w:ascii="Times New Roman" w:eastAsia="Times New Roman" w:hAnsi="Times New Roman" w:cs="Times New Roman"/>
                      <w:sz w:val="18"/>
                      <w:szCs w:val="18"/>
                      <w:lang w:eastAsia="tr-TR"/>
                    </w:rPr>
                    <w:t xml:space="preserve"> Aynı Yönetmeliğin üçüncü bölüm başlığı aşağıdaki şekilde değiştirilmiştir.</w:t>
                  </w:r>
                </w:p>
                <w:p w:rsidR="007A7114" w:rsidRPr="007A7114" w:rsidRDefault="007A7114" w:rsidP="007A7114">
                  <w:pPr>
                    <w:tabs>
                      <w:tab w:val="left" w:pos="566"/>
                    </w:tabs>
                    <w:spacing w:before="85" w:after="85" w:line="240" w:lineRule="exact"/>
                    <w:jc w:val="center"/>
                    <w:rPr>
                      <w:rFonts w:ascii="Times New Roman" w:eastAsia="Times New Roman" w:hAnsi="Times New Roman" w:cs="Times New Roman"/>
                      <w:b/>
                      <w:sz w:val="18"/>
                      <w:szCs w:val="18"/>
                      <w:lang w:eastAsia="tr-TR"/>
                    </w:rPr>
                  </w:pPr>
                  <w:r w:rsidRPr="007A7114">
                    <w:rPr>
                      <w:rFonts w:ascii="Times New Roman" w:eastAsia="Times New Roman" w:hAnsi="Times New Roman" w:cs="Times New Roman"/>
                      <w:b/>
                      <w:sz w:val="18"/>
                      <w:szCs w:val="18"/>
                      <w:lang w:eastAsia="tr-TR"/>
                    </w:rPr>
                    <w:t>“BANDROLLERİN VERİLMESİ VE TEMİNAT MEKTUBU”</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sz w:val="18"/>
                      <w:szCs w:val="18"/>
                      <w:lang w:eastAsia="tr-TR"/>
                    </w:rPr>
                    <w:t>MADDE 3 – Aynı Yönetmeliğin 6 ncı maddesi başlığıyla birlikte aşağıdaki şekilde değiştirilmiştir.</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b/>
                      <w:sz w:val="18"/>
                      <w:szCs w:val="18"/>
                      <w:lang w:eastAsia="tr-TR"/>
                    </w:rPr>
                  </w:pPr>
                  <w:r w:rsidRPr="007A7114">
                    <w:rPr>
                      <w:rFonts w:ascii="Times New Roman" w:eastAsia="Times New Roman" w:hAnsi="Times New Roman" w:cs="Times New Roman"/>
                      <w:sz w:val="18"/>
                      <w:szCs w:val="18"/>
                      <w:lang w:eastAsia="tr-TR"/>
                    </w:rPr>
                    <w:t>“</w:t>
                  </w:r>
                  <w:r w:rsidRPr="007A7114">
                    <w:rPr>
                      <w:rFonts w:ascii="Times New Roman" w:eastAsia="Times New Roman" w:hAnsi="Times New Roman" w:cs="Times New Roman"/>
                      <w:b/>
                      <w:sz w:val="18"/>
                      <w:szCs w:val="18"/>
                      <w:lang w:eastAsia="tr-TR"/>
                    </w:rPr>
                    <w:t xml:space="preserve">Bandrol Alma Zorunluluğu ve Bandrol Verilmesi </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b/>
                      <w:sz w:val="18"/>
                      <w:szCs w:val="18"/>
                      <w:lang w:eastAsia="tr-TR"/>
                    </w:rPr>
                    <w:t>MADDE 6 –</w:t>
                  </w:r>
                  <w:r w:rsidRPr="007A7114">
                    <w:rPr>
                      <w:rFonts w:ascii="Times New Roman" w:eastAsia="Times New Roman" w:hAnsi="Times New Roman" w:cs="Times New Roman"/>
                      <w:sz w:val="18"/>
                      <w:szCs w:val="18"/>
                      <w:lang w:eastAsia="tr-TR"/>
                    </w:rPr>
                    <w:t xml:space="preserve"> 3093 sayılı Türkiye Radyo-Televizyon Kurumu Gelirleri Kanununda belirtilen bandrole tabi cihazları imal edenler satıştan önce; ithal edenler ise serbest dolaşıma girişinde bandrol veya etiket almaya mecburdurlar.</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sz w:val="18"/>
                      <w:szCs w:val="18"/>
                      <w:lang w:eastAsia="tr-TR"/>
                    </w:rPr>
                    <w:t>Kurumla bandrol dolayısıyla irtibatı devam eden veya bandrol almak için ilk defa müracaat eden gerçek ve hükmî şahısların talep ettikleri bandroller;</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sz w:val="18"/>
                      <w:szCs w:val="18"/>
                      <w:lang w:eastAsia="tr-TR"/>
                    </w:rPr>
                    <w:t>a) İthal etmiş oldukları cihazlar için bandrol bedelinin ilgili Gümrük Müdürlüklerine yatırılması üzerine veya 3093 sayılı Türkiye Radyo-Televizyon Kurumu Gelirleri Kanununda belirtilen vade tarihinde Kuruma ödenmek üzere banka teminat mektubu karşılığında,</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sz w:val="18"/>
                      <w:szCs w:val="18"/>
                      <w:lang w:eastAsia="tr-TR"/>
                    </w:rPr>
                    <w:t xml:space="preserve">b) İmal ettikleri cihazlar için bandrol bedelinin Kuruma doğrudan yatırılması üzerine veya 3093 sayılı Türkiye Radyo-Televizyon Kurumu Gelirleri Kanununda belirtilen vade tarihinde Kuruma ödenmek üzere banka teminat mektubu karşılığında, </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sz w:val="18"/>
                      <w:szCs w:val="18"/>
                      <w:lang w:eastAsia="tr-TR"/>
                    </w:rPr>
                    <w:t>verilir.”</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b/>
                      <w:sz w:val="18"/>
                      <w:szCs w:val="18"/>
                      <w:lang w:eastAsia="tr-TR"/>
                    </w:rPr>
                    <w:t>MADDE 4 –</w:t>
                  </w:r>
                  <w:r w:rsidRPr="007A7114">
                    <w:rPr>
                      <w:rFonts w:ascii="Times New Roman" w:eastAsia="Times New Roman" w:hAnsi="Times New Roman" w:cs="Times New Roman"/>
                      <w:sz w:val="18"/>
                      <w:szCs w:val="18"/>
                      <w:lang w:eastAsia="tr-TR"/>
                    </w:rPr>
                    <w:t xml:space="preserve"> Aynı Yönetmeliğin 7 nci maddesi başlığıyla birlikte aşağıdaki şekilde değiştirilmiştir.</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b/>
                      <w:sz w:val="18"/>
                      <w:szCs w:val="18"/>
                      <w:lang w:eastAsia="tr-TR"/>
                    </w:rPr>
                  </w:pPr>
                  <w:r w:rsidRPr="007A7114">
                    <w:rPr>
                      <w:rFonts w:ascii="Times New Roman" w:eastAsia="Times New Roman" w:hAnsi="Times New Roman" w:cs="Times New Roman"/>
                      <w:sz w:val="18"/>
                      <w:szCs w:val="18"/>
                      <w:lang w:eastAsia="tr-TR"/>
                    </w:rPr>
                    <w:t>“</w:t>
                  </w:r>
                  <w:r w:rsidRPr="007A7114">
                    <w:rPr>
                      <w:rFonts w:ascii="Times New Roman" w:eastAsia="Times New Roman" w:hAnsi="Times New Roman" w:cs="Times New Roman"/>
                      <w:b/>
                      <w:sz w:val="18"/>
                      <w:szCs w:val="18"/>
                      <w:lang w:eastAsia="tr-TR"/>
                    </w:rPr>
                    <w:t>Teminat Mektubu</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b/>
                      <w:sz w:val="18"/>
                      <w:szCs w:val="18"/>
                      <w:lang w:eastAsia="tr-TR"/>
                    </w:rPr>
                    <w:t>MADDE 7 –</w:t>
                  </w:r>
                  <w:r w:rsidRPr="007A7114">
                    <w:rPr>
                      <w:rFonts w:ascii="Times New Roman" w:eastAsia="Times New Roman" w:hAnsi="Times New Roman" w:cs="Times New Roman"/>
                      <w:sz w:val="18"/>
                      <w:szCs w:val="18"/>
                      <w:lang w:eastAsia="tr-TR"/>
                    </w:rPr>
                    <w:t xml:space="preserve"> İmal ettikleri veya ithal etmiş oldukları bandrole tabi cihazların bandrollerini teminat mektubu karşılığı almak isteyen gerçek ve hükmî şahıslardan; talep ettikleri bandrol bedeli kadar, kesin ve süresiz banka teminat mektubu istenir.”</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b/>
                      <w:sz w:val="18"/>
                      <w:szCs w:val="18"/>
                      <w:lang w:eastAsia="tr-TR"/>
                    </w:rPr>
                    <w:t>MADDE 5 –</w:t>
                  </w:r>
                  <w:r w:rsidRPr="007A7114">
                    <w:rPr>
                      <w:rFonts w:ascii="Times New Roman" w:eastAsia="Times New Roman" w:hAnsi="Times New Roman" w:cs="Times New Roman"/>
                      <w:sz w:val="18"/>
                      <w:szCs w:val="18"/>
                      <w:lang w:eastAsia="tr-TR"/>
                    </w:rPr>
                    <w:t xml:space="preserve"> Aynı Yönetmeliğin 8 inci maddesi aşağıdaki şekilde değiştirilmiştir.</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sz w:val="18"/>
                      <w:szCs w:val="18"/>
                      <w:lang w:eastAsia="tr-TR"/>
                    </w:rPr>
                    <w:t>“</w:t>
                  </w:r>
                  <w:r w:rsidRPr="007A7114">
                    <w:rPr>
                      <w:rFonts w:ascii="Times New Roman" w:eastAsia="Times New Roman" w:hAnsi="Times New Roman" w:cs="Times New Roman"/>
                      <w:b/>
                      <w:sz w:val="18"/>
                      <w:szCs w:val="18"/>
                      <w:lang w:eastAsia="tr-TR"/>
                    </w:rPr>
                    <w:t>MADDE 8 –</w:t>
                  </w:r>
                  <w:r w:rsidRPr="007A7114">
                    <w:rPr>
                      <w:rFonts w:ascii="Times New Roman" w:eastAsia="Times New Roman" w:hAnsi="Times New Roman" w:cs="Times New Roman"/>
                      <w:sz w:val="18"/>
                      <w:szCs w:val="18"/>
                      <w:lang w:eastAsia="tr-TR"/>
                    </w:rPr>
                    <w:t xml:space="preserve"> Gerçek ve hükmî şahıslar 7 nci maddede belirlenen tutarda kesin ve süresiz banka teminat mektubunu Kurumun belirleyeceği şekilde bandrol almadan önce Kuruma vermek zorundadırlar. </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sz w:val="18"/>
                      <w:szCs w:val="18"/>
                      <w:lang w:eastAsia="tr-TR"/>
                    </w:rPr>
                    <w:lastRenderedPageBreak/>
                    <w:t>Kurum gerekli görmesi halinde ilave banka teminat mektubu isteyebilir.”</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b/>
                      <w:sz w:val="18"/>
                      <w:szCs w:val="18"/>
                      <w:lang w:eastAsia="tr-TR"/>
                    </w:rPr>
                    <w:t xml:space="preserve">MADDE 6 – </w:t>
                  </w:r>
                  <w:r w:rsidRPr="007A7114">
                    <w:rPr>
                      <w:rFonts w:ascii="Times New Roman" w:eastAsia="Times New Roman" w:hAnsi="Times New Roman" w:cs="Times New Roman"/>
                      <w:sz w:val="18"/>
                      <w:szCs w:val="18"/>
                      <w:lang w:eastAsia="tr-TR"/>
                    </w:rPr>
                    <w:t xml:space="preserve">Aynı Yönetmeliğin 9 uncu maddesinin başlığı ile birinci fıkrası aşağıdaki şekilde değiştirilmiştir. </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sz w:val="18"/>
                      <w:szCs w:val="18"/>
                      <w:lang w:eastAsia="tr-TR"/>
                    </w:rPr>
                    <w:t>“</w:t>
                  </w:r>
                  <w:r w:rsidRPr="007A7114">
                    <w:rPr>
                      <w:rFonts w:ascii="Times New Roman" w:eastAsia="Times New Roman" w:hAnsi="Times New Roman" w:cs="Times New Roman"/>
                      <w:b/>
                      <w:sz w:val="18"/>
                      <w:szCs w:val="18"/>
                      <w:lang w:eastAsia="tr-TR"/>
                    </w:rPr>
                    <w:t>Teminatın Kapsamı</w:t>
                  </w:r>
                  <w:r w:rsidRPr="007A7114">
                    <w:rPr>
                      <w:rFonts w:ascii="Times New Roman" w:eastAsia="Times New Roman" w:hAnsi="Times New Roman" w:cs="Times New Roman"/>
                      <w:sz w:val="18"/>
                      <w:szCs w:val="18"/>
                      <w:lang w:eastAsia="tr-TR"/>
                    </w:rPr>
                    <w:t>”</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sz w:val="18"/>
                      <w:szCs w:val="18"/>
                      <w:lang w:eastAsia="tr-TR"/>
                    </w:rPr>
                    <w:t>“Gerçek ve hükmî şahıslar tarafından bandrol alımında verilecek banka teminat mektupları, Kurumun bandrol işlemlerinden kaynaklanan mevcut ve ileride doğabilecek vadesi gelmiş ve gelmemiş bütün alacaklarını kapsar.”</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b/>
                      <w:sz w:val="18"/>
                      <w:szCs w:val="18"/>
                      <w:lang w:eastAsia="tr-TR"/>
                    </w:rPr>
                    <w:t>MADDE 7 –</w:t>
                  </w:r>
                  <w:r w:rsidRPr="007A7114">
                    <w:rPr>
                      <w:rFonts w:ascii="Times New Roman" w:eastAsia="Times New Roman" w:hAnsi="Times New Roman" w:cs="Times New Roman"/>
                      <w:sz w:val="18"/>
                      <w:szCs w:val="18"/>
                      <w:lang w:eastAsia="tr-TR"/>
                    </w:rPr>
                    <w:t xml:space="preserve"> Aynı Yönetmeliğin 10 uncu maddesi aşağıdaki şekilde değiştirilmiştir.</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sz w:val="18"/>
                      <w:szCs w:val="18"/>
                      <w:lang w:eastAsia="tr-TR"/>
                    </w:rPr>
                    <w:t>“</w:t>
                  </w:r>
                  <w:r w:rsidRPr="007A7114">
                    <w:rPr>
                      <w:rFonts w:ascii="Times New Roman" w:eastAsia="Times New Roman" w:hAnsi="Times New Roman" w:cs="Times New Roman"/>
                      <w:b/>
                      <w:sz w:val="18"/>
                      <w:szCs w:val="18"/>
                      <w:lang w:eastAsia="tr-TR"/>
                    </w:rPr>
                    <w:t xml:space="preserve">MADDE 10 – </w:t>
                  </w:r>
                  <w:r w:rsidRPr="007A7114">
                    <w:rPr>
                      <w:rFonts w:ascii="Times New Roman" w:eastAsia="Times New Roman" w:hAnsi="Times New Roman" w:cs="Times New Roman"/>
                      <w:sz w:val="18"/>
                      <w:szCs w:val="18"/>
                      <w:lang w:eastAsia="tr-TR"/>
                    </w:rPr>
                    <w:t>Kurumla bandrol ilişkisi olan gerçek ve hükmî şahısların, bu ilişkiden kaynaklanan yükümlülüklerinin sona ermesi veya bandrol ilişkisi devam etmekle beraber teminatlı alımdan nakit alıma geçmek istemeleri halinde, yazılı olarak talep etmeleri ve Kuruma borçlarının bulunmaması kaydıyla, banka teminat mektupları, hesap mutabakatından sonra kendilerine iade edilir.”</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b/>
                      <w:sz w:val="18"/>
                      <w:szCs w:val="18"/>
                      <w:lang w:eastAsia="tr-TR"/>
                    </w:rPr>
                    <w:t>MADDE 8 –</w:t>
                  </w:r>
                  <w:r w:rsidRPr="007A7114">
                    <w:rPr>
                      <w:rFonts w:ascii="Times New Roman" w:eastAsia="Times New Roman" w:hAnsi="Times New Roman" w:cs="Times New Roman"/>
                      <w:sz w:val="18"/>
                      <w:szCs w:val="18"/>
                      <w:lang w:eastAsia="tr-TR"/>
                    </w:rPr>
                    <w:t xml:space="preserve"> Aynı Yönetmeliğin 11 inci maddesi aşağıdaki şekilde değiştirilmiştir.</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sz w:val="18"/>
                      <w:szCs w:val="18"/>
                      <w:lang w:eastAsia="tr-TR"/>
                    </w:rPr>
                    <w:t>“</w:t>
                  </w:r>
                  <w:r w:rsidRPr="007A7114">
                    <w:rPr>
                      <w:rFonts w:ascii="Times New Roman" w:eastAsia="Times New Roman" w:hAnsi="Times New Roman" w:cs="Times New Roman"/>
                      <w:b/>
                      <w:sz w:val="18"/>
                      <w:szCs w:val="18"/>
                      <w:lang w:eastAsia="tr-TR"/>
                    </w:rPr>
                    <w:t>MADDE 11 –</w:t>
                  </w:r>
                  <w:r w:rsidRPr="007A7114">
                    <w:rPr>
                      <w:rFonts w:ascii="Times New Roman" w:eastAsia="Times New Roman" w:hAnsi="Times New Roman" w:cs="Times New Roman"/>
                      <w:sz w:val="18"/>
                      <w:szCs w:val="18"/>
                      <w:lang w:eastAsia="tr-TR"/>
                    </w:rPr>
                    <w:t xml:space="preserve"> Gerçek ve hükmî şahısların Kanunda belirtilen süre içinde Kuruma olan bandrol borçlarını ödememeleri halinde, 6183 sayılı Amme Alacaklarının Tahsil Usulü Hakkında Kanunun 56 ncı maddesi uyarınca borcun 7 gün içinde ödenmesi, aksi halde teminatın paraya çevrileceği veya diğer şekillerle cebren tahsile devam olunacağı borçluya bildirilir. 7 gün içinde borç ödenmediği takdirde teminat paraya çevrilerek Kurum alacağı tahsil edilir.”</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b/>
                      <w:sz w:val="18"/>
                      <w:szCs w:val="18"/>
                      <w:lang w:eastAsia="tr-TR"/>
                    </w:rPr>
                    <w:t>MADDE 9 –</w:t>
                  </w:r>
                  <w:r w:rsidRPr="007A7114">
                    <w:rPr>
                      <w:rFonts w:ascii="Times New Roman" w:eastAsia="Times New Roman" w:hAnsi="Times New Roman" w:cs="Times New Roman"/>
                      <w:sz w:val="18"/>
                      <w:szCs w:val="18"/>
                      <w:lang w:eastAsia="tr-TR"/>
                    </w:rPr>
                    <w:t xml:space="preserve"> Aynı Yönetmeliğin 13 üncü maddesinin birinci fıkrasında yer alan “Hasılât” ibaresi “Muhasebe ve Finansman” şeklinde değiştirilmiştir. </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b/>
                      <w:sz w:val="18"/>
                      <w:szCs w:val="18"/>
                      <w:lang w:eastAsia="tr-TR"/>
                    </w:rPr>
                    <w:t>MADDE 10 –</w:t>
                  </w:r>
                  <w:r w:rsidRPr="007A7114">
                    <w:rPr>
                      <w:rFonts w:ascii="Times New Roman" w:eastAsia="Times New Roman" w:hAnsi="Times New Roman" w:cs="Times New Roman"/>
                      <w:sz w:val="18"/>
                      <w:szCs w:val="18"/>
                      <w:lang w:eastAsia="tr-TR"/>
                    </w:rPr>
                    <w:t xml:space="preserve"> Aynı Yönetmeliğin 15 inci maddesi aşağıdaki şekilde değiştirilmiştir.</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sz w:val="18"/>
                      <w:szCs w:val="18"/>
                      <w:lang w:eastAsia="tr-TR"/>
                    </w:rPr>
                    <w:t>“</w:t>
                  </w:r>
                  <w:r w:rsidRPr="007A7114">
                    <w:rPr>
                      <w:rFonts w:ascii="Times New Roman" w:eastAsia="Times New Roman" w:hAnsi="Times New Roman" w:cs="Times New Roman"/>
                      <w:b/>
                      <w:sz w:val="18"/>
                      <w:szCs w:val="18"/>
                      <w:lang w:eastAsia="tr-TR"/>
                    </w:rPr>
                    <w:t>MADDE 15 –</w:t>
                  </w:r>
                  <w:r w:rsidRPr="007A7114">
                    <w:rPr>
                      <w:rFonts w:ascii="Times New Roman" w:eastAsia="Times New Roman" w:hAnsi="Times New Roman" w:cs="Times New Roman"/>
                      <w:sz w:val="18"/>
                      <w:szCs w:val="18"/>
                      <w:lang w:eastAsia="tr-TR"/>
                    </w:rPr>
                    <w:t xml:space="preserve"> Gerçek ve hükmî şahısların bandrol talepleri merkezde Muhasebe ve Finansman Dairesi Başkanlığınca, taşrada ise TRT Müdürlüklerince Muhasebe ve Finansman Dairesi Başkanlığının talimatı doğrultusunda yerine getirilir.”</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b/>
                      <w:sz w:val="18"/>
                      <w:szCs w:val="18"/>
                      <w:lang w:eastAsia="tr-TR"/>
                    </w:rPr>
                    <w:t>MADDE 11 –</w:t>
                  </w:r>
                  <w:r w:rsidRPr="007A7114">
                    <w:rPr>
                      <w:rFonts w:ascii="Times New Roman" w:eastAsia="Times New Roman" w:hAnsi="Times New Roman" w:cs="Times New Roman"/>
                      <w:sz w:val="18"/>
                      <w:szCs w:val="18"/>
                      <w:lang w:eastAsia="tr-TR"/>
                    </w:rPr>
                    <w:t xml:space="preserve"> Bu Yönetmelik yayımı tarihinde yürürlüğe girer.</w:t>
                  </w:r>
                </w:p>
                <w:p w:rsidR="007A7114" w:rsidRPr="007A7114" w:rsidRDefault="007A7114" w:rsidP="007A7114">
                  <w:pPr>
                    <w:spacing w:before="100" w:beforeAutospacing="1" w:after="100" w:afterAutospacing="1" w:line="240" w:lineRule="exact"/>
                    <w:rPr>
                      <w:rFonts w:ascii="Times New Roman" w:eastAsia="Times New Roman" w:hAnsi="Times New Roman" w:cs="Times New Roman"/>
                      <w:sz w:val="18"/>
                      <w:szCs w:val="18"/>
                      <w:lang w:eastAsia="tr-TR"/>
                    </w:rPr>
                  </w:pPr>
                  <w:r w:rsidRPr="007A7114">
                    <w:rPr>
                      <w:rFonts w:ascii="Times New Roman" w:eastAsia="Times New Roman" w:hAnsi="Times New Roman" w:cs="Times New Roman"/>
                      <w:b/>
                      <w:sz w:val="18"/>
                      <w:szCs w:val="18"/>
                      <w:lang w:eastAsia="tr-TR"/>
                    </w:rPr>
                    <w:t>MADDE 12 –</w:t>
                  </w:r>
                  <w:r w:rsidRPr="007A7114">
                    <w:rPr>
                      <w:rFonts w:ascii="Times New Roman" w:eastAsia="Times New Roman" w:hAnsi="Times New Roman" w:cs="Times New Roman"/>
                      <w:sz w:val="18"/>
                      <w:szCs w:val="18"/>
                      <w:lang w:eastAsia="tr-TR"/>
                    </w:rPr>
                    <w:t xml:space="preserve"> Bu Yönetmelik hükümlerini Türkiye Radyo-Televizyon Kurumu Genel Müdürü yürütür.</w:t>
                  </w:r>
                </w:p>
                <w:p w:rsidR="007A7114" w:rsidRPr="007A7114" w:rsidRDefault="007A7114" w:rsidP="007A711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A7114" w:rsidRPr="007A7114" w:rsidRDefault="007A7114" w:rsidP="007A7114">
            <w:pPr>
              <w:spacing w:after="0" w:line="240" w:lineRule="auto"/>
              <w:jc w:val="center"/>
              <w:rPr>
                <w:rFonts w:ascii="Times New Roman" w:eastAsia="Times New Roman" w:hAnsi="Times New Roman" w:cs="Times New Roman"/>
                <w:sz w:val="20"/>
                <w:szCs w:val="20"/>
                <w:lang w:eastAsia="tr-TR"/>
              </w:rPr>
            </w:pPr>
          </w:p>
        </w:tc>
      </w:tr>
    </w:tbl>
    <w:p w:rsidR="007A7114" w:rsidRPr="007A7114" w:rsidRDefault="007A7114" w:rsidP="007A7114">
      <w:pPr>
        <w:spacing w:after="0" w:line="240" w:lineRule="auto"/>
        <w:jc w:val="center"/>
        <w:rPr>
          <w:rFonts w:ascii="Times New Roman" w:eastAsia="Times New Roman" w:hAnsi="Times New Roman" w:cs="Times New Roman"/>
          <w:sz w:val="24"/>
          <w:szCs w:val="24"/>
          <w:lang w:eastAsia="tr-TR"/>
        </w:rPr>
      </w:pPr>
    </w:p>
    <w:p w:rsidR="000F5AC2" w:rsidRDefault="000F5AC2"/>
    <w:sectPr w:rsidR="000F5AC2" w:rsidSect="000F5A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7A7114"/>
    <w:rsid w:val="000F5AC2"/>
    <w:rsid w:val="007A71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A711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7A7114"/>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7A7114"/>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7A711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53873165">
      <w:bodyDiv w:val="1"/>
      <w:marLeft w:val="0"/>
      <w:marRight w:val="0"/>
      <w:marTop w:val="0"/>
      <w:marBottom w:val="0"/>
      <w:divBdr>
        <w:top w:val="none" w:sz="0" w:space="0" w:color="auto"/>
        <w:left w:val="none" w:sz="0" w:space="0" w:color="auto"/>
        <w:bottom w:val="none" w:sz="0" w:space="0" w:color="auto"/>
        <w:right w:val="none" w:sz="0" w:space="0" w:color="auto"/>
      </w:divBdr>
      <w:divsChild>
        <w:div w:id="573900224">
          <w:marLeft w:val="0"/>
          <w:marRight w:val="0"/>
          <w:marTop w:val="0"/>
          <w:marBottom w:val="0"/>
          <w:divBdr>
            <w:top w:val="none" w:sz="0" w:space="0" w:color="auto"/>
            <w:left w:val="none" w:sz="0" w:space="0" w:color="auto"/>
            <w:bottom w:val="none" w:sz="0" w:space="0" w:color="auto"/>
            <w:right w:val="none" w:sz="0" w:space="0" w:color="auto"/>
          </w:divBdr>
          <w:divsChild>
            <w:div w:id="175778693">
              <w:marLeft w:val="0"/>
              <w:marRight w:val="0"/>
              <w:marTop w:val="0"/>
              <w:marBottom w:val="0"/>
              <w:divBdr>
                <w:top w:val="none" w:sz="0" w:space="0" w:color="auto"/>
                <w:left w:val="none" w:sz="0" w:space="0" w:color="auto"/>
                <w:bottom w:val="none" w:sz="0" w:space="0" w:color="auto"/>
                <w:right w:val="none" w:sz="0" w:space="0" w:color="auto"/>
              </w:divBdr>
              <w:divsChild>
                <w:div w:id="672149654">
                  <w:marLeft w:val="0"/>
                  <w:marRight w:val="0"/>
                  <w:marTop w:val="0"/>
                  <w:marBottom w:val="0"/>
                  <w:divBdr>
                    <w:top w:val="none" w:sz="0" w:space="0" w:color="auto"/>
                    <w:left w:val="none" w:sz="0" w:space="0" w:color="auto"/>
                    <w:bottom w:val="none" w:sz="0" w:space="0" w:color="auto"/>
                    <w:right w:val="none" w:sz="0" w:space="0" w:color="auto"/>
                  </w:divBdr>
                  <w:divsChild>
                    <w:div w:id="225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2015-03-19T06:39:00Z</dcterms:created>
  <dcterms:modified xsi:type="dcterms:W3CDTF">2015-03-19T06:39:00Z</dcterms:modified>
</cp:coreProperties>
</file>