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41314" w:rsidRPr="00A41314" w:rsidTr="00A41314">
        <w:trPr>
          <w:jc w:val="center"/>
        </w:trPr>
        <w:tc>
          <w:tcPr>
            <w:tcW w:w="9104" w:type="dxa"/>
            <w:hideMark/>
          </w:tcPr>
          <w:tbl>
            <w:tblPr>
              <w:tblW w:w="8789" w:type="dxa"/>
              <w:jc w:val="center"/>
              <w:tblLook w:val="01E0"/>
            </w:tblPr>
            <w:tblGrid>
              <w:gridCol w:w="2931"/>
              <w:gridCol w:w="2931"/>
              <w:gridCol w:w="2927"/>
            </w:tblGrid>
            <w:tr w:rsidR="00A41314" w:rsidRPr="00A41314">
              <w:trPr>
                <w:trHeight w:val="317"/>
                <w:jc w:val="center"/>
              </w:trPr>
              <w:tc>
                <w:tcPr>
                  <w:tcW w:w="2931" w:type="dxa"/>
                  <w:tcBorders>
                    <w:top w:val="nil"/>
                    <w:left w:val="nil"/>
                    <w:bottom w:val="single" w:sz="4" w:space="0" w:color="660066"/>
                    <w:right w:val="nil"/>
                  </w:tcBorders>
                  <w:vAlign w:val="center"/>
                  <w:hideMark/>
                </w:tcPr>
                <w:p w:rsidR="00A41314" w:rsidRPr="00A41314" w:rsidRDefault="00A41314" w:rsidP="00A4131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41314">
                    <w:rPr>
                      <w:rFonts w:ascii="Arial" w:eastAsia="Times New Roman" w:hAnsi="Arial" w:cs="Arial"/>
                      <w:sz w:val="16"/>
                      <w:szCs w:val="16"/>
                      <w:lang w:eastAsia="tr-TR"/>
                    </w:rPr>
                    <w:t>20 Haziran 2015 CUMARTESİ</w:t>
                  </w:r>
                </w:p>
              </w:tc>
              <w:tc>
                <w:tcPr>
                  <w:tcW w:w="2931" w:type="dxa"/>
                  <w:tcBorders>
                    <w:top w:val="nil"/>
                    <w:left w:val="nil"/>
                    <w:bottom w:val="single" w:sz="4" w:space="0" w:color="660066"/>
                    <w:right w:val="nil"/>
                  </w:tcBorders>
                  <w:vAlign w:val="center"/>
                  <w:hideMark/>
                </w:tcPr>
                <w:p w:rsidR="00A41314" w:rsidRPr="00A41314" w:rsidRDefault="00A41314" w:rsidP="00A4131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4131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41314" w:rsidRPr="00A41314" w:rsidRDefault="00A41314" w:rsidP="00A41314">
                  <w:pPr>
                    <w:spacing w:before="100" w:beforeAutospacing="1" w:after="100" w:afterAutospacing="1" w:line="240" w:lineRule="auto"/>
                    <w:jc w:val="right"/>
                    <w:rPr>
                      <w:rFonts w:ascii="Arial" w:eastAsia="Times New Roman" w:hAnsi="Arial" w:cs="Arial"/>
                      <w:sz w:val="16"/>
                      <w:szCs w:val="16"/>
                      <w:lang w:eastAsia="tr-TR"/>
                    </w:rPr>
                  </w:pPr>
                  <w:proofErr w:type="gramStart"/>
                  <w:r w:rsidRPr="00A41314">
                    <w:rPr>
                      <w:rFonts w:ascii="Arial" w:eastAsia="Times New Roman" w:hAnsi="Arial" w:cs="Arial"/>
                      <w:sz w:val="16"/>
                      <w:szCs w:val="16"/>
                      <w:lang w:eastAsia="tr-TR"/>
                    </w:rPr>
                    <w:t>Sayı : 29392</w:t>
                  </w:r>
                  <w:proofErr w:type="gramEnd"/>
                </w:p>
              </w:tc>
            </w:tr>
            <w:tr w:rsidR="00A41314" w:rsidRPr="00A41314">
              <w:trPr>
                <w:trHeight w:val="480"/>
                <w:jc w:val="center"/>
              </w:trPr>
              <w:tc>
                <w:tcPr>
                  <w:tcW w:w="8789" w:type="dxa"/>
                  <w:gridSpan w:val="3"/>
                  <w:vAlign w:val="center"/>
                  <w:hideMark/>
                </w:tcPr>
                <w:p w:rsidR="00A41314" w:rsidRPr="00A41314" w:rsidRDefault="00A41314" w:rsidP="00A41314">
                  <w:pPr>
                    <w:spacing w:before="100" w:beforeAutospacing="1" w:after="100" w:afterAutospacing="1" w:line="240" w:lineRule="auto"/>
                    <w:jc w:val="center"/>
                    <w:rPr>
                      <w:rFonts w:ascii="Arial" w:eastAsia="Times New Roman" w:hAnsi="Arial" w:cs="Arial"/>
                      <w:b/>
                      <w:color w:val="000080"/>
                      <w:sz w:val="18"/>
                      <w:szCs w:val="18"/>
                      <w:lang w:eastAsia="tr-TR"/>
                    </w:rPr>
                  </w:pPr>
                  <w:r w:rsidRPr="00A41314">
                    <w:rPr>
                      <w:rFonts w:ascii="Arial" w:eastAsia="Times New Roman" w:hAnsi="Arial" w:cs="Arial"/>
                      <w:b/>
                      <w:color w:val="000080"/>
                      <w:sz w:val="18"/>
                      <w:szCs w:val="18"/>
                      <w:lang w:eastAsia="tr-TR"/>
                    </w:rPr>
                    <w:t>TEBLİĞ</w:t>
                  </w:r>
                </w:p>
              </w:tc>
            </w:tr>
            <w:tr w:rsidR="00A41314" w:rsidRPr="00A41314">
              <w:trPr>
                <w:trHeight w:val="480"/>
                <w:jc w:val="center"/>
              </w:trPr>
              <w:tc>
                <w:tcPr>
                  <w:tcW w:w="8789" w:type="dxa"/>
                  <w:gridSpan w:val="3"/>
                  <w:vAlign w:val="center"/>
                </w:tcPr>
                <w:p w:rsidR="00A41314" w:rsidRPr="00A41314" w:rsidRDefault="00A41314" w:rsidP="00A4131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41314">
                    <w:rPr>
                      <w:rFonts w:ascii="Times New Roman" w:eastAsia="Times New Roman" w:hAnsi="Times New Roman" w:cs="Times New Roman"/>
                      <w:sz w:val="18"/>
                      <w:szCs w:val="18"/>
                      <w:u w:val="single"/>
                      <w:lang w:eastAsia="tr-TR"/>
                    </w:rPr>
                    <w:t>Maliye Bakanlığından:</w:t>
                  </w:r>
                </w:p>
                <w:p w:rsidR="00A41314" w:rsidRPr="00A41314" w:rsidRDefault="00A41314" w:rsidP="00A41314">
                  <w:pPr>
                    <w:tabs>
                      <w:tab w:val="left" w:pos="566"/>
                    </w:tabs>
                    <w:spacing w:before="56" w:after="0" w:line="240" w:lineRule="exact"/>
                    <w:jc w:val="center"/>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VERGİ USUL KANUNU GENEL TEBLİĞİ</w:t>
                  </w:r>
                </w:p>
                <w:p w:rsidR="00A41314" w:rsidRPr="00A41314" w:rsidRDefault="00A41314" w:rsidP="00A41314">
                  <w:pPr>
                    <w:tabs>
                      <w:tab w:val="left" w:pos="566"/>
                    </w:tabs>
                    <w:spacing w:after="170" w:line="240" w:lineRule="exact"/>
                    <w:jc w:val="center"/>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(SIRA NO: 453)</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1. Giriş ve Yetki</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Günümüzde gittikçe artan ve karmaşıklaşan mükellef ve mükellefiyete ilişkin faaliyetlerin etkin ve hızlı şekilde kavranması ve kayıt altına alınması tüm vergi idareleri açısından büyük önem arz etmektedir. Bu nedenle yoklama faaliyetlerinin etkinliğinin ve verimliliğinin artırılması için gelişen bilgi ve iletişim teknolojilerinin kullanılması, bu faaliyetlerin dinamik ve organize bir yapıda yürütülmesi ve gelişen teknolojiye uygun yeni usul ve esaslarının belirlenmesi zorunluluk haline gelmiştir.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41314">
                    <w:rPr>
                      <w:rFonts w:ascii="Times New Roman" w:eastAsia="Times New Roman" w:hAnsi="Times New Roman" w:cs="Times New Roman"/>
                      <w:sz w:val="18"/>
                      <w:szCs w:val="18"/>
                      <w:lang w:eastAsia="tr-TR"/>
                    </w:rPr>
                    <w:t>4/1/1961</w:t>
                  </w:r>
                  <w:proofErr w:type="gramEnd"/>
                  <w:r w:rsidRPr="00A41314">
                    <w:rPr>
                      <w:rFonts w:ascii="Times New Roman" w:eastAsia="Times New Roman" w:hAnsi="Times New Roman" w:cs="Times New Roman"/>
                      <w:sz w:val="18"/>
                      <w:szCs w:val="18"/>
                      <w:lang w:eastAsia="tr-TR"/>
                    </w:rPr>
                    <w:t xml:space="preserve"> tarihli ve 213 sayılı Vergi Usul Kanununun 127 </w:t>
                  </w:r>
                  <w:proofErr w:type="spellStart"/>
                  <w:r w:rsidRPr="00A41314">
                    <w:rPr>
                      <w:rFonts w:ascii="Times New Roman" w:eastAsia="Times New Roman" w:hAnsi="Times New Roman" w:cs="Times New Roman"/>
                      <w:sz w:val="18"/>
                      <w:szCs w:val="18"/>
                      <w:lang w:eastAsia="tr-TR"/>
                    </w:rPr>
                    <w:t>nci</w:t>
                  </w:r>
                  <w:proofErr w:type="spellEnd"/>
                  <w:r w:rsidRPr="00A41314">
                    <w:rPr>
                      <w:rFonts w:ascii="Times New Roman" w:eastAsia="Times New Roman" w:hAnsi="Times New Roman" w:cs="Times New Roman"/>
                      <w:sz w:val="18"/>
                      <w:szCs w:val="18"/>
                      <w:lang w:eastAsia="tr-TR"/>
                    </w:rPr>
                    <w:t xml:space="preserve"> maddesinde mükellefleri ve mükellefiyetle ilgili maddî olayları, kayıtları ve mevzuları araştırmak ve tespit etmek olarak tanımlanan yoklama faaliyetlerinin elektronik ortamda yapılabilmesi ve sonuçlarının etkin bir şekilde izlenebilmesi amacıyla 27/3/2015 tarihli ve 6637 sayılı Kanunun 6 </w:t>
                  </w:r>
                  <w:proofErr w:type="spellStart"/>
                  <w:r w:rsidRPr="00A41314">
                    <w:rPr>
                      <w:rFonts w:ascii="Times New Roman" w:eastAsia="Times New Roman" w:hAnsi="Times New Roman" w:cs="Times New Roman"/>
                      <w:sz w:val="18"/>
                      <w:szCs w:val="18"/>
                      <w:lang w:eastAsia="tr-TR"/>
                    </w:rPr>
                    <w:t>ncı</w:t>
                  </w:r>
                  <w:proofErr w:type="spellEnd"/>
                  <w:r w:rsidRPr="00A41314">
                    <w:rPr>
                      <w:rFonts w:ascii="Times New Roman" w:eastAsia="Times New Roman" w:hAnsi="Times New Roman" w:cs="Times New Roman"/>
                      <w:sz w:val="18"/>
                      <w:szCs w:val="18"/>
                      <w:lang w:eastAsia="tr-TR"/>
                    </w:rPr>
                    <w:t xml:space="preserve"> maddesi ile Vergi Usul Kanununa aşağıda hükümlerine yer verilen 132/A maddesi eklenmiştir.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“Vergi Usul Kanunu Madde 132/A-</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Yoklama neticeleri, yoklama yerinde bu Kanunun 131 inci maddesinde yer alan yoklama fişi ile aynı mahiyette olan, elektronik ortamda tanzim olunan "yoklama fişi" ile de kayıt altına alınabilir. Bu fiş, nezdinde yoklama yapılan veya yetkilisi tarafından elektronik imza araçlarıyla imzalanır. Yoklama fişinin elektronik imza araçlarıyla imzalanmaması durumunda yoklama fişini temsil eden ve yoklama fiş muhteviyatının değiştirilemeyeceğini güvence altına alan benzersiz bir kodun üzerine yazıldığı bir form imzalanır.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41314">
                    <w:rPr>
                      <w:rFonts w:ascii="Times New Roman" w:eastAsia="Times New Roman" w:hAnsi="Times New Roman" w:cs="Times New Roman"/>
                      <w:sz w:val="18"/>
                      <w:szCs w:val="18"/>
                      <w:lang w:eastAsia="tr-TR"/>
                    </w:rPr>
                    <w:t>Maliye Bakanlığı elektronik ortamda kayıt altına alınan yoklama fişleri ile birinci fıkrada belirtilen formların şekil ve muhteviyatını tespit etmeye, bunların şifre, elektronik imza veya diğer güvenlik araçları konulmak suretiyle imzalanması usul ve esaslarını belirlemeye, bunları internet de dâhil olmak üzere her türlü elektronik bilgi iletişim araç ve ortamında ilgili kişilere göndermeye ve elektronik ortamda yürütülecek yoklama faaliyetlerine ilişkin diğer usul ve esasları belirlemeye yetkilidir.”</w:t>
                  </w:r>
                  <w:proofErr w:type="gramEnd"/>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Söz konusu hükümlerin Maliye Bakanlığına tanıdığı yetkilere istinaden, elektronik yoklamaya ilişkin belirlenen usul ve esaslar aşağıda açıklanmaktadır.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2. Tanımlar ve Kısaltmalar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Bu Tebliğde geçen;</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Başkanlık: Gelir İdaresi Başkanlığını,</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Benzersiz Kod: Elektronik ortamda düzenlenen e-yoklama fişinin değiştirilemeyeceğini güvence altına alan ve sadece düzenlenen fişe ait tekil numarayı,</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E-Yoklama Fişi: Elektronik ortamda yapılan yoklama faaliyetleri sonucunda düzenlenen fişi,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E-Yoklama İmza Formu: Seri-sıra numarası ihtiva eden, e-yoklama fişini temsil eden, benzersiz kodun üzerine yazıldığı formu,</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Elektronik İmza Araçları: E-yoklama fişinin nezdinde yoklama yapılan veya yetkilisi tarafından elektronik ortamda imzalanmasını sağlayan nitelikli elektronik sertifika veya mali mührü,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Elektronik Yoklama Sistemi: Yoklama faaliyetlerine ilişkin süreçlerin elektronik ortamda yürütülmesini, yoklama </w:t>
                  </w:r>
                  <w:r w:rsidRPr="00A41314">
                    <w:rPr>
                      <w:rFonts w:ascii="Times New Roman" w:eastAsia="Times New Roman" w:hAnsi="Times New Roman" w:cs="Times New Roman"/>
                      <w:sz w:val="18"/>
                      <w:szCs w:val="18"/>
                      <w:lang w:eastAsia="tr-TR"/>
                    </w:rPr>
                    <w:lastRenderedPageBreak/>
                    <w:t xml:space="preserve">faaliyeti sonucunda kayıt altına alınan delil niteliğindeki verilerin (resim, video, koordinat vs. </w:t>
                  </w:r>
                  <w:proofErr w:type="gramStart"/>
                  <w:r w:rsidRPr="00A41314">
                    <w:rPr>
                      <w:rFonts w:ascii="Times New Roman" w:eastAsia="Times New Roman" w:hAnsi="Times New Roman" w:cs="Times New Roman"/>
                      <w:sz w:val="18"/>
                      <w:szCs w:val="18"/>
                      <w:lang w:eastAsia="tr-TR"/>
                    </w:rPr>
                    <w:t>dahil</w:t>
                  </w:r>
                  <w:proofErr w:type="gramEnd"/>
                  <w:r w:rsidRPr="00A41314">
                    <w:rPr>
                      <w:rFonts w:ascii="Times New Roman" w:eastAsia="Times New Roman" w:hAnsi="Times New Roman" w:cs="Times New Roman"/>
                      <w:sz w:val="18"/>
                      <w:szCs w:val="18"/>
                      <w:lang w:eastAsia="tr-TR"/>
                    </w:rPr>
                    <w:t>)  Başkanlık ve ilgilisine elektronik ortamda iletilmesini sağlayan sistemi,</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Mali Mühür: </w:t>
                  </w:r>
                  <w:proofErr w:type="gramStart"/>
                  <w:r w:rsidRPr="00A41314">
                    <w:rPr>
                      <w:rFonts w:ascii="Times New Roman" w:eastAsia="Times New Roman" w:hAnsi="Times New Roman" w:cs="Times New Roman"/>
                      <w:sz w:val="18"/>
                      <w:szCs w:val="18"/>
                      <w:lang w:eastAsia="tr-TR"/>
                    </w:rPr>
                    <w:t>5/3/2010</w:t>
                  </w:r>
                  <w:proofErr w:type="gramEnd"/>
                  <w:r w:rsidRPr="00A41314">
                    <w:rPr>
                      <w:rFonts w:ascii="Times New Roman" w:eastAsia="Times New Roman" w:hAnsi="Times New Roman" w:cs="Times New Roman"/>
                      <w:sz w:val="18"/>
                      <w:szCs w:val="18"/>
                      <w:lang w:eastAsia="tr-TR"/>
                    </w:rPr>
                    <w:t xml:space="preserve"> tarihli ve 27512 sayılı Resmî Gazete’de yayımlanan 397 Sıra Numaralı Vergi Usul Kanunu Genel Tebliği çerçevesinde Başkanlık için TÜBİTAK-BİLGEM </w:t>
                  </w:r>
                  <w:proofErr w:type="spellStart"/>
                  <w:r w:rsidRPr="00A41314">
                    <w:rPr>
                      <w:rFonts w:ascii="Times New Roman" w:eastAsia="Times New Roman" w:hAnsi="Times New Roman" w:cs="Times New Roman"/>
                      <w:sz w:val="18"/>
                      <w:szCs w:val="18"/>
                      <w:lang w:eastAsia="tr-TR"/>
                    </w:rPr>
                    <w:t>KamuSM</w:t>
                  </w:r>
                  <w:proofErr w:type="spellEnd"/>
                  <w:r w:rsidRPr="00A41314">
                    <w:rPr>
                      <w:rFonts w:ascii="Times New Roman" w:eastAsia="Times New Roman" w:hAnsi="Times New Roman" w:cs="Times New Roman"/>
                      <w:sz w:val="18"/>
                      <w:szCs w:val="18"/>
                      <w:lang w:eastAsia="tr-TR"/>
                    </w:rPr>
                    <w:t xml:space="preserve"> bünyesinde oluşturulan elektronik sertifika alt yapısını,</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Nitelikli Elektronik Sertifika: </w:t>
                  </w:r>
                  <w:proofErr w:type="gramStart"/>
                  <w:r w:rsidRPr="00A41314">
                    <w:rPr>
                      <w:rFonts w:ascii="Times New Roman" w:eastAsia="Times New Roman" w:hAnsi="Times New Roman" w:cs="Times New Roman"/>
                      <w:sz w:val="18"/>
                      <w:szCs w:val="18"/>
                      <w:lang w:eastAsia="tr-TR"/>
                    </w:rPr>
                    <w:t>15/1/2004</w:t>
                  </w:r>
                  <w:proofErr w:type="gramEnd"/>
                  <w:r w:rsidRPr="00A41314">
                    <w:rPr>
                      <w:rFonts w:ascii="Times New Roman" w:eastAsia="Times New Roman" w:hAnsi="Times New Roman" w:cs="Times New Roman"/>
                      <w:sz w:val="18"/>
                      <w:szCs w:val="18"/>
                      <w:lang w:eastAsia="tr-TR"/>
                    </w:rPr>
                    <w:t xml:space="preserve"> tarihli ve 5070 sayılı Elektronik İmza Kanununun 9 uncu maddesinde tanımlanan elektronik imzayı,</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41314">
                    <w:rPr>
                      <w:rFonts w:ascii="Times New Roman" w:eastAsia="Times New Roman" w:hAnsi="Times New Roman" w:cs="Times New Roman"/>
                      <w:sz w:val="18"/>
                      <w:szCs w:val="18"/>
                      <w:lang w:eastAsia="tr-TR"/>
                    </w:rPr>
                    <w:t>ifade</w:t>
                  </w:r>
                  <w:proofErr w:type="gramEnd"/>
                  <w:r w:rsidRPr="00A41314">
                    <w:rPr>
                      <w:rFonts w:ascii="Times New Roman" w:eastAsia="Times New Roman" w:hAnsi="Times New Roman" w:cs="Times New Roman"/>
                      <w:sz w:val="18"/>
                      <w:szCs w:val="18"/>
                      <w:lang w:eastAsia="tr-TR"/>
                    </w:rPr>
                    <w:t xml:space="preserve"> eder.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3. Elektronik Yoklama Sistemi</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Elektronik Yoklama Sistemi ile yoklama talebinin oluşturulması, oluşturulan talebin yoklamaya yetkililere iletilmesi, yoklama fişinin oluşturulması, kayıt altına alınması ve onaylanması ile yoklama fişinin ilgilisine iletilmesi işlemleri elektronik ortamda gerçekleştirilecektir.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Yoklama fişlerinin elektronik ortamda oluşturularak kayıt altına alınması, bunların elektronik imza araçları ile onaylanması ya da formun ıslak olarak imzalanması, bu şekilde hazırlanacak olan bilgi ve belgelerin internet de </w:t>
                  </w:r>
                  <w:proofErr w:type="gramStart"/>
                  <w:r w:rsidRPr="00A41314">
                    <w:rPr>
                      <w:rFonts w:ascii="Times New Roman" w:eastAsia="Times New Roman" w:hAnsi="Times New Roman" w:cs="Times New Roman"/>
                      <w:sz w:val="18"/>
                      <w:szCs w:val="18"/>
                      <w:lang w:eastAsia="tr-TR"/>
                    </w:rPr>
                    <w:t>dahil</w:t>
                  </w:r>
                  <w:proofErr w:type="gramEnd"/>
                  <w:r w:rsidRPr="00A41314">
                    <w:rPr>
                      <w:rFonts w:ascii="Times New Roman" w:eastAsia="Times New Roman" w:hAnsi="Times New Roman" w:cs="Times New Roman"/>
                      <w:sz w:val="18"/>
                      <w:szCs w:val="18"/>
                      <w:lang w:eastAsia="tr-TR"/>
                    </w:rPr>
                    <w:t xml:space="preserve"> olmak üzere her türlü elektronik bilgi iletişim araç ve ortamında ilgili kişilere gönderilmesi esas olmakla birlikte, yoklama faaliyetinin herhangi bir nedenle elektronik ortamda yürütülememesi halinde söz konusu işlemler genel hükümler doğrultusunda yerine getirilecektir.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3.1. E-Yoklama Fişi</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3.1.1. E-Yoklama Fişinin Oluşturulması ve İmzalanarak Onaylanması</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E-yoklama fişleri, yoklamaya yetkililer tarafından yoklama faaliyetinin amaç ve içeriğine göre belirlenmiş iş kuralları çerçevesinde, mobil cihazlar aracılığıyla elektronik ortamda oluşturulur.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Yoklama sırasında tespit edilen hususlar, nezdinde yoklama yapılana veya yetkilisine mobil cihaz ekranında ön izleme yaptırılmak suretiyle okutulur ve doğruluğu noktasında karşılıklı olarak mutabık kalınması halinde;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41314">
                    <w:rPr>
                      <w:rFonts w:ascii="Times New Roman" w:eastAsia="Times New Roman" w:hAnsi="Times New Roman" w:cs="Times New Roman"/>
                      <w:b/>
                      <w:sz w:val="18"/>
                      <w:szCs w:val="18"/>
                      <w:lang w:eastAsia="tr-TR"/>
                    </w:rPr>
                    <w:t>a</w:t>
                  </w:r>
                  <w:proofErr w:type="gramEnd"/>
                  <w:r w:rsidRPr="00A41314">
                    <w:rPr>
                      <w:rFonts w:ascii="Times New Roman" w:eastAsia="Times New Roman" w:hAnsi="Times New Roman" w:cs="Times New Roman"/>
                      <w:b/>
                      <w:sz w:val="18"/>
                      <w:szCs w:val="18"/>
                      <w:lang w:eastAsia="tr-TR"/>
                    </w:rPr>
                    <w:t xml:space="preserve">. </w:t>
                  </w:r>
                  <w:r w:rsidRPr="00A41314">
                    <w:rPr>
                      <w:rFonts w:ascii="Times New Roman" w:eastAsia="Times New Roman" w:hAnsi="Times New Roman" w:cs="Times New Roman"/>
                      <w:sz w:val="18"/>
                      <w:szCs w:val="18"/>
                      <w:lang w:eastAsia="tr-TR"/>
                    </w:rPr>
                    <w:t>Nezdinde yoklama yapılanın elektronik imza aracı bulunması durumunda; nezdinde yoklama yapılan kişi veya yetkilisi tarafından elektronik imza aracı kullanılarak e-yoklama fişi imzalanır,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41314">
                    <w:rPr>
                      <w:rFonts w:ascii="Times New Roman" w:eastAsia="Times New Roman" w:hAnsi="Times New Roman" w:cs="Times New Roman"/>
                      <w:b/>
                      <w:sz w:val="18"/>
                      <w:szCs w:val="18"/>
                      <w:lang w:eastAsia="tr-TR"/>
                    </w:rPr>
                    <w:t>b</w:t>
                  </w:r>
                  <w:proofErr w:type="gramEnd"/>
                  <w:r w:rsidRPr="00A41314">
                    <w:rPr>
                      <w:rFonts w:ascii="Times New Roman" w:eastAsia="Times New Roman" w:hAnsi="Times New Roman" w:cs="Times New Roman"/>
                      <w:b/>
                      <w:sz w:val="18"/>
                      <w:szCs w:val="18"/>
                      <w:lang w:eastAsia="tr-TR"/>
                    </w:rPr>
                    <w:t xml:space="preserve">. </w:t>
                  </w:r>
                  <w:r w:rsidRPr="00A41314">
                    <w:rPr>
                      <w:rFonts w:ascii="Times New Roman" w:eastAsia="Times New Roman" w:hAnsi="Times New Roman" w:cs="Times New Roman"/>
                      <w:sz w:val="18"/>
                      <w:szCs w:val="18"/>
                      <w:lang w:eastAsia="tr-TR"/>
                    </w:rPr>
                    <w:t>Nezdinde yoklama yapılanın elektronik imza aracı bulunmaması durumunda; yoklamaya ilişkin özet bilgilerle benzersiz kodun üzerine yazıldığı e-yoklama imza formu, tarih yazılmak suretiyle yoklamaya yetkililer ve nezdinde yoklama yapılan kişi veya yetkilisi ile birlikte karşılıklı olarak ıslak imza ile imzalanır.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Yukarıda belirtildiği şekilde nezdinde yoklama yapılan veya yetkilisi tarafından imzalanan e-yoklama fişi yoklamaya yetkililer tarafından elektronik ortamda onaylanarak imzalanma süreci tamamlanır.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3.1.2. E-Yoklama Fişinin İmzalanmadan Onaylanması</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Elektronik ortamda yoklama fişinin tanzimi sırasında, nezdinde yoklama yapılan veya yetkilisi bulunmaz veya imzadan imtina ederlerse bu </w:t>
                  </w:r>
                  <w:proofErr w:type="gramStart"/>
                  <w:r w:rsidRPr="00A41314">
                    <w:rPr>
                      <w:rFonts w:ascii="Times New Roman" w:eastAsia="Times New Roman" w:hAnsi="Times New Roman" w:cs="Times New Roman"/>
                      <w:sz w:val="18"/>
                      <w:szCs w:val="18"/>
                      <w:lang w:eastAsia="tr-TR"/>
                    </w:rPr>
                    <w:t>durum  mobil</w:t>
                  </w:r>
                  <w:proofErr w:type="gramEnd"/>
                  <w:r w:rsidRPr="00A41314">
                    <w:rPr>
                      <w:rFonts w:ascii="Times New Roman" w:eastAsia="Times New Roman" w:hAnsi="Times New Roman" w:cs="Times New Roman"/>
                      <w:sz w:val="18"/>
                      <w:szCs w:val="18"/>
                      <w:lang w:eastAsia="tr-TR"/>
                    </w:rPr>
                    <w:t xml:space="preserve"> cihaz üzerinde ve e-yoklama imza formunda kayıt altına alınır. Bu durumda yoklama fişi yoklamaya yetkili memur tarafından başka bir işleme gerek kalmaksızın tek taraflı olarak onaylanır ve e-yoklama imza formunun bir örneği ilgilisine bırakılır.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3.2. Elektronik Yoklama Fişlerinin İletilmesi</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E-yoklama fişi, internet vergi dairesi üzerinde yer alan “Elektronik Yoklama Görüntüleme” menüsünden görüntülenebilir ve çıktısı alınabilir. Aynı şekilde bağlı bulunulan vergi dairesi/mal müdürlüğüne mükellef ya da </w:t>
                  </w:r>
                  <w:r w:rsidRPr="00A41314">
                    <w:rPr>
                      <w:rFonts w:ascii="Times New Roman" w:eastAsia="Times New Roman" w:hAnsi="Times New Roman" w:cs="Times New Roman"/>
                      <w:sz w:val="18"/>
                      <w:szCs w:val="18"/>
                      <w:lang w:eastAsia="tr-TR"/>
                    </w:rPr>
                    <w:lastRenderedPageBreak/>
                    <w:t xml:space="preserve">yetkilisi tarafından başvurulması halinde </w:t>
                  </w:r>
                  <w:proofErr w:type="gramStart"/>
                  <w:r w:rsidRPr="00A41314">
                    <w:rPr>
                      <w:rFonts w:ascii="Times New Roman" w:eastAsia="Times New Roman" w:hAnsi="Times New Roman" w:cs="Times New Roman"/>
                      <w:sz w:val="18"/>
                      <w:szCs w:val="18"/>
                      <w:lang w:eastAsia="tr-TR"/>
                    </w:rPr>
                    <w:t>kağıt</w:t>
                  </w:r>
                  <w:proofErr w:type="gramEnd"/>
                  <w:r w:rsidRPr="00A41314">
                    <w:rPr>
                      <w:rFonts w:ascii="Times New Roman" w:eastAsia="Times New Roman" w:hAnsi="Times New Roman" w:cs="Times New Roman"/>
                      <w:sz w:val="18"/>
                      <w:szCs w:val="18"/>
                      <w:lang w:eastAsia="tr-TR"/>
                    </w:rPr>
                    <w:t xml:space="preserve"> ortamında bir örneği verilir. Elektronik ortamda yoklama fişinin tanzimi sırasında nezdinde yoklama yapılana veya yetkilisine ulaşılamazsa,  e-yoklama fişinin çıktısı alınarak mükellefin bilinen adresine 7 gün içerisinde gönderilir.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 xml:space="preserve">4. Yoklama Faaliyetinin Elektronik Ortamda Yapılamaması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Yoklama faaliyetinin teknik </w:t>
                  </w:r>
                  <w:proofErr w:type="gramStart"/>
                  <w:r w:rsidRPr="00A41314">
                    <w:rPr>
                      <w:rFonts w:ascii="Times New Roman" w:eastAsia="Times New Roman" w:hAnsi="Times New Roman" w:cs="Times New Roman"/>
                      <w:sz w:val="18"/>
                      <w:szCs w:val="18"/>
                      <w:lang w:eastAsia="tr-TR"/>
                    </w:rPr>
                    <w:t>imkansızlık</w:t>
                  </w:r>
                  <w:proofErr w:type="gramEnd"/>
                  <w:r w:rsidRPr="00A41314">
                    <w:rPr>
                      <w:rFonts w:ascii="Times New Roman" w:eastAsia="Times New Roman" w:hAnsi="Times New Roman" w:cs="Times New Roman"/>
                      <w:sz w:val="18"/>
                      <w:szCs w:val="18"/>
                      <w:lang w:eastAsia="tr-TR"/>
                    </w:rPr>
                    <w:t xml:space="preserve"> ya da yapılacak işin niteliği gereği elektronik ortamda yapılamaması halinde, yoklama fişi kağıt ortamında üç örnek olarak düzenlenir ve nezdinde yoklama yapılana veya yetkilisine imzalatılır. Nezdinde yoklama yapılan veya yetkilisi bulunmaz veya imzadan imtina ederse durum fişe yazılır. Yoklama fişlerinin birinci örneği nezdinde yoklama yapılana veya yetkilisine bırakılır. Bunlar bulunmazsa ilgilisine 7 gün içerisinde gönderilir. </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b/>
                      <w:sz w:val="18"/>
                      <w:szCs w:val="18"/>
                      <w:lang w:eastAsia="tr-TR"/>
                    </w:rPr>
                  </w:pPr>
                  <w:r w:rsidRPr="00A41314">
                    <w:rPr>
                      <w:rFonts w:ascii="Times New Roman" w:eastAsia="Times New Roman" w:hAnsi="Times New Roman" w:cs="Times New Roman"/>
                      <w:b/>
                      <w:sz w:val="18"/>
                      <w:szCs w:val="18"/>
                      <w:lang w:eastAsia="tr-TR"/>
                    </w:rPr>
                    <w:t>5. Uygulamanın Başlama Zamanı</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 xml:space="preserve">Elektronik Yoklama Sisteminin uygulanmasına </w:t>
                  </w:r>
                  <w:proofErr w:type="gramStart"/>
                  <w:r w:rsidRPr="00A41314">
                    <w:rPr>
                      <w:rFonts w:ascii="Times New Roman" w:eastAsia="Times New Roman" w:hAnsi="Times New Roman" w:cs="Times New Roman"/>
                      <w:sz w:val="18"/>
                      <w:szCs w:val="18"/>
                      <w:lang w:eastAsia="tr-TR"/>
                    </w:rPr>
                    <w:t>1/9/2015</w:t>
                  </w:r>
                  <w:proofErr w:type="gramEnd"/>
                  <w:r w:rsidRPr="00A41314">
                    <w:rPr>
                      <w:rFonts w:ascii="Times New Roman" w:eastAsia="Times New Roman" w:hAnsi="Times New Roman" w:cs="Times New Roman"/>
                      <w:sz w:val="18"/>
                      <w:szCs w:val="18"/>
                      <w:lang w:eastAsia="tr-TR"/>
                    </w:rPr>
                    <w:t xml:space="preserve"> tarihinde başlanılacaktır.</w:t>
                  </w:r>
                </w:p>
                <w:p w:rsidR="00A41314" w:rsidRPr="00A41314" w:rsidRDefault="00A41314" w:rsidP="00A41314">
                  <w:pPr>
                    <w:spacing w:before="100" w:beforeAutospacing="1" w:after="100" w:afterAutospacing="1" w:line="240" w:lineRule="exact"/>
                    <w:rPr>
                      <w:rFonts w:ascii="Times New Roman" w:eastAsia="Times New Roman" w:hAnsi="Times New Roman" w:cs="Times New Roman"/>
                      <w:sz w:val="18"/>
                      <w:szCs w:val="18"/>
                      <w:lang w:eastAsia="tr-TR"/>
                    </w:rPr>
                  </w:pPr>
                  <w:r w:rsidRPr="00A41314">
                    <w:rPr>
                      <w:rFonts w:ascii="Times New Roman" w:eastAsia="Times New Roman" w:hAnsi="Times New Roman" w:cs="Times New Roman"/>
                      <w:sz w:val="18"/>
                      <w:szCs w:val="18"/>
                      <w:lang w:eastAsia="tr-TR"/>
                    </w:rPr>
                    <w:t>Tebliğ olunur.</w:t>
                  </w:r>
                </w:p>
                <w:p w:rsidR="00A41314" w:rsidRPr="00A41314" w:rsidRDefault="00A41314" w:rsidP="00A4131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41314" w:rsidRPr="00A41314" w:rsidRDefault="00A41314" w:rsidP="00A41314">
            <w:pPr>
              <w:spacing w:after="0" w:line="240" w:lineRule="auto"/>
              <w:jc w:val="center"/>
              <w:rPr>
                <w:rFonts w:ascii="Times New Roman" w:eastAsia="Times New Roman" w:hAnsi="Times New Roman" w:cs="Times New Roman"/>
                <w:sz w:val="20"/>
                <w:szCs w:val="20"/>
                <w:lang w:eastAsia="tr-TR"/>
              </w:rPr>
            </w:pPr>
          </w:p>
        </w:tc>
      </w:tr>
    </w:tbl>
    <w:p w:rsidR="00A41314" w:rsidRPr="00A41314" w:rsidRDefault="00A41314" w:rsidP="00A41314">
      <w:pPr>
        <w:spacing w:after="0" w:line="240" w:lineRule="auto"/>
        <w:jc w:val="center"/>
        <w:rPr>
          <w:rFonts w:ascii="Times New Roman" w:eastAsia="Times New Roman" w:hAnsi="Times New Roman" w:cs="Times New Roman"/>
          <w:sz w:val="24"/>
          <w:szCs w:val="24"/>
          <w:lang w:eastAsia="tr-TR"/>
        </w:rPr>
      </w:pPr>
    </w:p>
    <w:p w:rsidR="00392896" w:rsidRDefault="00392896"/>
    <w:sectPr w:rsidR="00392896" w:rsidSect="003928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A41314"/>
    <w:rsid w:val="00392896"/>
    <w:rsid w:val="00A413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413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A41314"/>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A4131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A413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25935888">
      <w:bodyDiv w:val="1"/>
      <w:marLeft w:val="0"/>
      <w:marRight w:val="0"/>
      <w:marTop w:val="0"/>
      <w:marBottom w:val="0"/>
      <w:divBdr>
        <w:top w:val="none" w:sz="0" w:space="0" w:color="auto"/>
        <w:left w:val="none" w:sz="0" w:space="0" w:color="auto"/>
        <w:bottom w:val="none" w:sz="0" w:space="0" w:color="auto"/>
        <w:right w:val="none" w:sz="0" w:space="0" w:color="auto"/>
      </w:divBdr>
      <w:divsChild>
        <w:div w:id="2139370450">
          <w:marLeft w:val="0"/>
          <w:marRight w:val="0"/>
          <w:marTop w:val="0"/>
          <w:marBottom w:val="0"/>
          <w:divBdr>
            <w:top w:val="none" w:sz="0" w:space="0" w:color="auto"/>
            <w:left w:val="none" w:sz="0" w:space="0" w:color="auto"/>
            <w:bottom w:val="none" w:sz="0" w:space="0" w:color="auto"/>
            <w:right w:val="none" w:sz="0" w:space="0" w:color="auto"/>
          </w:divBdr>
          <w:divsChild>
            <w:div w:id="938835296">
              <w:marLeft w:val="0"/>
              <w:marRight w:val="0"/>
              <w:marTop w:val="0"/>
              <w:marBottom w:val="0"/>
              <w:divBdr>
                <w:top w:val="none" w:sz="0" w:space="0" w:color="auto"/>
                <w:left w:val="none" w:sz="0" w:space="0" w:color="auto"/>
                <w:bottom w:val="none" w:sz="0" w:space="0" w:color="auto"/>
                <w:right w:val="none" w:sz="0" w:space="0" w:color="auto"/>
              </w:divBdr>
              <w:divsChild>
                <w:div w:id="1111975774">
                  <w:marLeft w:val="0"/>
                  <w:marRight w:val="0"/>
                  <w:marTop w:val="0"/>
                  <w:marBottom w:val="0"/>
                  <w:divBdr>
                    <w:top w:val="none" w:sz="0" w:space="0" w:color="auto"/>
                    <w:left w:val="none" w:sz="0" w:space="0" w:color="auto"/>
                    <w:bottom w:val="none" w:sz="0" w:space="0" w:color="auto"/>
                    <w:right w:val="none" w:sz="0" w:space="0" w:color="auto"/>
                  </w:divBdr>
                  <w:divsChild>
                    <w:div w:id="13951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2015-06-22T05:54:00Z</dcterms:created>
  <dcterms:modified xsi:type="dcterms:W3CDTF">2015-06-22T05:54:00Z</dcterms:modified>
</cp:coreProperties>
</file>