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jc w:val="center"/>
        <w:tblLook w:val="01E0"/>
      </w:tblPr>
      <w:tblGrid>
        <w:gridCol w:w="2931"/>
        <w:gridCol w:w="2931"/>
        <w:gridCol w:w="2927"/>
      </w:tblGrid>
      <w:tr w:rsidR="00353FD1" w:rsidRPr="00353FD1">
        <w:trPr>
          <w:trHeight w:val="317"/>
          <w:jc w:val="center"/>
        </w:trPr>
        <w:tc>
          <w:tcPr>
            <w:tcW w:w="2931" w:type="dxa"/>
            <w:tcBorders>
              <w:top w:val="nil"/>
              <w:left w:val="nil"/>
              <w:bottom w:val="single" w:sz="4" w:space="0" w:color="660066"/>
              <w:right w:val="nil"/>
            </w:tcBorders>
            <w:vAlign w:val="center"/>
            <w:hideMark/>
          </w:tcPr>
          <w:p w:rsidR="00353FD1" w:rsidRPr="00353FD1" w:rsidRDefault="00353FD1" w:rsidP="00353FD1">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353FD1">
              <w:rPr>
                <w:rFonts w:ascii="Arial" w:eastAsia="Times New Roman" w:hAnsi="Arial" w:cs="Arial"/>
                <w:sz w:val="16"/>
                <w:szCs w:val="16"/>
                <w:lang w:eastAsia="tr-TR"/>
              </w:rPr>
              <w:t>Haziran 2015 CUMA</w:t>
            </w:r>
          </w:p>
        </w:tc>
        <w:tc>
          <w:tcPr>
            <w:tcW w:w="2931" w:type="dxa"/>
            <w:tcBorders>
              <w:top w:val="nil"/>
              <w:left w:val="nil"/>
              <w:bottom w:val="single" w:sz="4" w:space="0" w:color="660066"/>
              <w:right w:val="nil"/>
            </w:tcBorders>
            <w:vAlign w:val="center"/>
            <w:hideMark/>
          </w:tcPr>
          <w:p w:rsidR="00353FD1" w:rsidRPr="00353FD1" w:rsidRDefault="00353FD1" w:rsidP="00353FD1">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353FD1">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353FD1" w:rsidRPr="00353FD1" w:rsidRDefault="00353FD1" w:rsidP="00353FD1">
            <w:pPr>
              <w:spacing w:before="100" w:beforeAutospacing="1" w:after="100" w:afterAutospacing="1" w:line="240" w:lineRule="auto"/>
              <w:jc w:val="right"/>
              <w:rPr>
                <w:rFonts w:ascii="Arial" w:eastAsia="Times New Roman" w:hAnsi="Arial" w:cs="Arial"/>
                <w:sz w:val="16"/>
                <w:szCs w:val="16"/>
                <w:lang w:eastAsia="tr-TR"/>
              </w:rPr>
            </w:pPr>
            <w:proofErr w:type="gramStart"/>
            <w:r w:rsidRPr="00353FD1">
              <w:rPr>
                <w:rFonts w:ascii="Arial" w:eastAsia="Times New Roman" w:hAnsi="Arial" w:cs="Arial"/>
                <w:sz w:val="16"/>
                <w:szCs w:val="16"/>
                <w:lang w:eastAsia="tr-TR"/>
              </w:rPr>
              <w:t>Sayı : 29398</w:t>
            </w:r>
            <w:proofErr w:type="gramEnd"/>
          </w:p>
        </w:tc>
      </w:tr>
      <w:tr w:rsidR="00353FD1" w:rsidRPr="00353FD1">
        <w:trPr>
          <w:trHeight w:val="480"/>
          <w:jc w:val="center"/>
        </w:trPr>
        <w:tc>
          <w:tcPr>
            <w:tcW w:w="8789" w:type="dxa"/>
            <w:gridSpan w:val="3"/>
            <w:vAlign w:val="center"/>
            <w:hideMark/>
          </w:tcPr>
          <w:p w:rsidR="00353FD1" w:rsidRPr="00353FD1" w:rsidRDefault="00353FD1" w:rsidP="00353FD1">
            <w:pPr>
              <w:spacing w:before="100" w:beforeAutospacing="1" w:after="100" w:afterAutospacing="1" w:line="240" w:lineRule="auto"/>
              <w:jc w:val="center"/>
              <w:rPr>
                <w:rFonts w:ascii="Arial" w:eastAsia="Times New Roman" w:hAnsi="Arial" w:cs="Arial"/>
                <w:b/>
                <w:color w:val="000080"/>
                <w:sz w:val="18"/>
                <w:szCs w:val="18"/>
                <w:lang w:eastAsia="tr-TR"/>
              </w:rPr>
            </w:pPr>
            <w:r w:rsidRPr="00353FD1">
              <w:rPr>
                <w:rFonts w:ascii="Arial" w:eastAsia="Times New Roman" w:hAnsi="Arial" w:cs="Arial"/>
                <w:b/>
                <w:color w:val="000080"/>
                <w:sz w:val="18"/>
                <w:szCs w:val="18"/>
                <w:lang w:eastAsia="tr-TR"/>
              </w:rPr>
              <w:t>YÖNETMELİK</w:t>
            </w:r>
          </w:p>
        </w:tc>
      </w:tr>
      <w:tr w:rsidR="00353FD1" w:rsidRPr="00353FD1">
        <w:trPr>
          <w:trHeight w:val="480"/>
          <w:jc w:val="center"/>
        </w:trPr>
        <w:tc>
          <w:tcPr>
            <w:tcW w:w="8789" w:type="dxa"/>
            <w:gridSpan w:val="3"/>
            <w:vAlign w:val="center"/>
          </w:tcPr>
          <w:p w:rsidR="00353FD1" w:rsidRPr="00353FD1" w:rsidRDefault="00353FD1" w:rsidP="00353FD1">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353FD1">
              <w:rPr>
                <w:rFonts w:ascii="Times New Roman" w:eastAsia="Times New Roman" w:hAnsi="Times New Roman" w:cs="Times New Roman"/>
                <w:sz w:val="18"/>
                <w:szCs w:val="18"/>
                <w:u w:val="single"/>
                <w:lang w:eastAsia="tr-TR"/>
              </w:rPr>
              <w:t>Bankacılık Düzenleme ve Denetleme Kurumundan:</w:t>
            </w:r>
          </w:p>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lang w:eastAsia="tr-TR"/>
              </w:rPr>
            </w:pPr>
            <w:r w:rsidRPr="00353FD1">
              <w:rPr>
                <w:rFonts w:ascii="Times New Roman" w:eastAsia="Times New Roman" w:hAnsi="Times New Roman" w:cs="Times New Roman"/>
                <w:b/>
                <w:sz w:val="18"/>
                <w:szCs w:val="18"/>
                <w:lang w:eastAsia="tr-TR"/>
              </w:rPr>
              <w:t>FİNANSAL KİRALAMA, FAKTORİNG VE FİNANSMAN ŞİRKETLERİNİN</w:t>
            </w:r>
          </w:p>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lang w:eastAsia="tr-TR"/>
              </w:rPr>
            </w:pPr>
            <w:r w:rsidRPr="00353FD1">
              <w:rPr>
                <w:rFonts w:ascii="Times New Roman" w:eastAsia="Times New Roman" w:hAnsi="Times New Roman" w:cs="Times New Roman"/>
                <w:b/>
                <w:sz w:val="18"/>
                <w:szCs w:val="18"/>
                <w:lang w:eastAsia="tr-TR"/>
              </w:rPr>
              <w:t>KURULUŞ VE FAALİYET ESASLARI HAKKINDA YÖNETMELİKTE</w:t>
            </w:r>
          </w:p>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lang w:eastAsia="tr-TR"/>
              </w:rPr>
            </w:pPr>
            <w:r w:rsidRPr="00353FD1">
              <w:rPr>
                <w:rFonts w:ascii="Times New Roman" w:eastAsia="Times New Roman" w:hAnsi="Times New Roman" w:cs="Times New Roman"/>
                <w:b/>
                <w:sz w:val="18"/>
                <w:szCs w:val="18"/>
                <w:lang w:eastAsia="tr-TR"/>
              </w:rPr>
              <w:t>DEĞİŞİKLİK YAPILMASINA DAİR YÖNETMELİK</w:t>
            </w:r>
          </w:p>
          <w:p w:rsidR="00353FD1" w:rsidRPr="00353FD1" w:rsidRDefault="00353FD1" w:rsidP="00353FD1">
            <w:pPr>
              <w:spacing w:before="100" w:beforeAutospacing="1" w:after="100" w:afterAutospacing="1" w:line="240" w:lineRule="exact"/>
              <w:rPr>
                <w:rFonts w:ascii="Times New Roman" w:eastAsia="Times New Roman" w:hAnsi="Times New Roman" w:cs="Times New Roman"/>
                <w:sz w:val="18"/>
                <w:szCs w:val="18"/>
                <w:lang w:eastAsia="tr-TR"/>
              </w:rPr>
            </w:pPr>
            <w:r w:rsidRPr="00353FD1">
              <w:rPr>
                <w:rFonts w:ascii="Times New Roman" w:eastAsia="Times New Roman" w:hAnsi="Times New Roman" w:cs="Times New Roman"/>
                <w:b/>
                <w:sz w:val="18"/>
                <w:szCs w:val="18"/>
                <w:lang w:eastAsia="tr-TR"/>
              </w:rPr>
              <w:t>MADDE 1 –</w:t>
            </w:r>
            <w:r w:rsidRPr="00353FD1">
              <w:rPr>
                <w:rFonts w:ascii="Times New Roman" w:eastAsia="Times New Roman" w:hAnsi="Times New Roman" w:cs="Times New Roman"/>
                <w:sz w:val="18"/>
                <w:szCs w:val="18"/>
                <w:lang w:eastAsia="tr-TR"/>
              </w:rPr>
              <w:t xml:space="preserve"> </w:t>
            </w:r>
            <w:proofErr w:type="gramStart"/>
            <w:r w:rsidRPr="00353FD1">
              <w:rPr>
                <w:rFonts w:ascii="Times New Roman" w:eastAsia="Times New Roman" w:hAnsi="Times New Roman" w:cs="Times New Roman"/>
                <w:sz w:val="18"/>
                <w:szCs w:val="18"/>
                <w:lang w:eastAsia="tr-TR"/>
              </w:rPr>
              <w:t>24/4/2013</w:t>
            </w:r>
            <w:proofErr w:type="gramEnd"/>
            <w:r w:rsidRPr="00353FD1">
              <w:rPr>
                <w:rFonts w:ascii="Times New Roman" w:eastAsia="Times New Roman" w:hAnsi="Times New Roman" w:cs="Times New Roman"/>
                <w:sz w:val="18"/>
                <w:szCs w:val="18"/>
                <w:lang w:eastAsia="tr-TR"/>
              </w:rPr>
              <w:t xml:space="preserve"> tarihli ve 28627 sayılı Resmî Gazete'de yayımlanan Finansal Kiralama, </w:t>
            </w:r>
            <w:proofErr w:type="spellStart"/>
            <w:r w:rsidRPr="00353FD1">
              <w:rPr>
                <w:rFonts w:ascii="Times New Roman" w:eastAsia="Times New Roman" w:hAnsi="Times New Roman" w:cs="Times New Roman"/>
                <w:sz w:val="18"/>
                <w:szCs w:val="18"/>
                <w:lang w:eastAsia="tr-TR"/>
              </w:rPr>
              <w:t>Faktoring</w:t>
            </w:r>
            <w:proofErr w:type="spellEnd"/>
            <w:r w:rsidRPr="00353FD1">
              <w:rPr>
                <w:rFonts w:ascii="Times New Roman" w:eastAsia="Times New Roman" w:hAnsi="Times New Roman" w:cs="Times New Roman"/>
                <w:sz w:val="18"/>
                <w:szCs w:val="18"/>
                <w:lang w:eastAsia="tr-TR"/>
              </w:rPr>
              <w:t xml:space="preserve"> ve Finansman Şirketlerinin Kuruluş ve Faaliyet Esasları Hakkında Yönetmeliğin 3 üncü maddesinin birinci fıkrasının (e) bendi aşağıdaki şekilde değiştirilmiştir.</w:t>
            </w:r>
          </w:p>
          <w:p w:rsidR="00353FD1" w:rsidRPr="00353FD1" w:rsidRDefault="00353FD1" w:rsidP="00353FD1">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353FD1">
              <w:rPr>
                <w:rFonts w:ascii="Times New Roman" w:eastAsia="Times New Roman" w:hAnsi="Times New Roman" w:cs="Times New Roman"/>
                <w:sz w:val="18"/>
                <w:szCs w:val="18"/>
                <w:lang w:eastAsia="tr-TR"/>
              </w:rPr>
              <w:t xml:space="preserve">“e) </w:t>
            </w:r>
            <w:proofErr w:type="spellStart"/>
            <w:r w:rsidRPr="00353FD1">
              <w:rPr>
                <w:rFonts w:ascii="Times New Roman" w:eastAsia="Times New Roman" w:hAnsi="Times New Roman" w:cs="Times New Roman"/>
                <w:sz w:val="18"/>
                <w:szCs w:val="18"/>
                <w:lang w:eastAsia="tr-TR"/>
              </w:rPr>
              <w:t>Özkaynak</w:t>
            </w:r>
            <w:proofErr w:type="spellEnd"/>
            <w:r w:rsidRPr="00353FD1">
              <w:rPr>
                <w:rFonts w:ascii="Times New Roman" w:eastAsia="Times New Roman" w:hAnsi="Times New Roman" w:cs="Times New Roman"/>
                <w:sz w:val="18"/>
                <w:szCs w:val="18"/>
                <w:lang w:eastAsia="tr-TR"/>
              </w:rPr>
              <w:t xml:space="preserve">: Ödenmiş sermaye, sermaye yedekleri, kâr yedekleri, dönem net kârı, geçmiş yıllar kârı, genel karşılıkların kullandırılan krediler toplamının </w:t>
            </w:r>
            <w:proofErr w:type="spellStart"/>
            <w:r w:rsidRPr="00353FD1">
              <w:rPr>
                <w:rFonts w:ascii="Times New Roman" w:eastAsia="Times New Roman" w:hAnsi="Times New Roman" w:cs="Times New Roman"/>
                <w:sz w:val="18"/>
                <w:szCs w:val="18"/>
                <w:lang w:eastAsia="tr-TR"/>
              </w:rPr>
              <w:t>onbinde</w:t>
            </w:r>
            <w:proofErr w:type="spellEnd"/>
            <w:r w:rsidRPr="00353FD1">
              <w:rPr>
                <w:rFonts w:ascii="Times New Roman" w:eastAsia="Times New Roman" w:hAnsi="Times New Roman" w:cs="Times New Roman"/>
                <w:sz w:val="18"/>
                <w:szCs w:val="18"/>
                <w:lang w:eastAsia="tr-TR"/>
              </w:rPr>
              <w:t xml:space="preserve"> </w:t>
            </w:r>
            <w:proofErr w:type="spellStart"/>
            <w:r w:rsidRPr="00353FD1">
              <w:rPr>
                <w:rFonts w:ascii="Times New Roman" w:eastAsia="Times New Roman" w:hAnsi="Times New Roman" w:cs="Times New Roman"/>
                <w:sz w:val="18"/>
                <w:szCs w:val="18"/>
                <w:lang w:eastAsia="tr-TR"/>
              </w:rPr>
              <w:t>yüzyirmibeşine</w:t>
            </w:r>
            <w:proofErr w:type="spellEnd"/>
            <w:r w:rsidRPr="00353FD1">
              <w:rPr>
                <w:rFonts w:ascii="Times New Roman" w:eastAsia="Times New Roman" w:hAnsi="Times New Roman" w:cs="Times New Roman"/>
                <w:sz w:val="18"/>
                <w:szCs w:val="18"/>
                <w:lang w:eastAsia="tr-TR"/>
              </w:rPr>
              <w:t xml:space="preserve"> kadar olan kısmı ve Kurulca belirlenecek diğer kalemler toplamından varsa dönem net zararı, geçmiş yıllar zararı ve Kurulca belirlenecek diğer kalemlerin düşülmesi suretiyle elde edilen bakiye ile nitelikleri Kurul tarafından belirlenecek sermaye benzeri borçları,”</w:t>
            </w:r>
            <w:proofErr w:type="gramEnd"/>
          </w:p>
          <w:p w:rsidR="00353FD1" w:rsidRPr="00353FD1" w:rsidRDefault="00353FD1" w:rsidP="00353FD1">
            <w:pPr>
              <w:spacing w:before="100" w:beforeAutospacing="1" w:after="100" w:afterAutospacing="1" w:line="240" w:lineRule="exact"/>
              <w:rPr>
                <w:rFonts w:ascii="Times New Roman" w:eastAsia="Times New Roman" w:hAnsi="Times New Roman" w:cs="Times New Roman"/>
                <w:sz w:val="18"/>
                <w:szCs w:val="18"/>
                <w:lang w:eastAsia="tr-TR"/>
              </w:rPr>
            </w:pPr>
            <w:r w:rsidRPr="00353FD1">
              <w:rPr>
                <w:rFonts w:ascii="Times New Roman" w:eastAsia="Times New Roman" w:hAnsi="Times New Roman" w:cs="Times New Roman"/>
                <w:b/>
                <w:sz w:val="18"/>
                <w:szCs w:val="18"/>
                <w:lang w:eastAsia="tr-TR"/>
              </w:rPr>
              <w:t xml:space="preserve">MADDE 2 – </w:t>
            </w:r>
            <w:r w:rsidRPr="00353FD1">
              <w:rPr>
                <w:rFonts w:ascii="Times New Roman" w:eastAsia="Times New Roman" w:hAnsi="Times New Roman" w:cs="Times New Roman"/>
                <w:sz w:val="18"/>
                <w:szCs w:val="18"/>
                <w:lang w:eastAsia="tr-TR"/>
              </w:rPr>
              <w:t>Bu Yönetmelik yayımı tarihinde yürürlüğe girer.</w:t>
            </w:r>
          </w:p>
          <w:p w:rsidR="00353FD1" w:rsidRPr="00353FD1" w:rsidRDefault="00353FD1" w:rsidP="00353FD1">
            <w:pPr>
              <w:spacing w:before="100" w:beforeAutospacing="1" w:after="100" w:afterAutospacing="1" w:line="240" w:lineRule="exact"/>
              <w:rPr>
                <w:rFonts w:ascii="Times New Roman" w:eastAsia="Times New Roman" w:hAnsi="Times New Roman" w:cs="Times New Roman"/>
                <w:sz w:val="18"/>
                <w:szCs w:val="18"/>
                <w:lang w:eastAsia="tr-TR"/>
              </w:rPr>
            </w:pPr>
            <w:r w:rsidRPr="00353FD1">
              <w:rPr>
                <w:rFonts w:ascii="Times New Roman" w:eastAsia="Times New Roman" w:hAnsi="Times New Roman" w:cs="Times New Roman"/>
                <w:b/>
                <w:sz w:val="18"/>
                <w:szCs w:val="18"/>
                <w:lang w:eastAsia="tr-TR"/>
              </w:rPr>
              <w:t xml:space="preserve">MADDE 3 – </w:t>
            </w:r>
            <w:r w:rsidRPr="00353FD1">
              <w:rPr>
                <w:rFonts w:ascii="Times New Roman" w:eastAsia="Times New Roman" w:hAnsi="Times New Roman" w:cs="Times New Roman"/>
                <w:sz w:val="18"/>
                <w:szCs w:val="18"/>
                <w:lang w:eastAsia="tr-TR"/>
              </w:rPr>
              <w:t>Bu Yönetmelik hükümlerini Bankacılık Düzenleme ve Denetleme Kurumu Başkanı yürütür.</w:t>
            </w:r>
          </w:p>
          <w:p w:rsidR="00353FD1" w:rsidRPr="00353FD1" w:rsidRDefault="00353FD1" w:rsidP="00353FD1">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353FD1" w:rsidRPr="00353FD1">
              <w:trPr>
                <w:jc w:val="center"/>
              </w:trPr>
              <w:tc>
                <w:tcPr>
                  <w:tcW w:w="8505" w:type="dxa"/>
                  <w:gridSpan w:val="3"/>
                  <w:tcBorders>
                    <w:top w:val="single" w:sz="4" w:space="0" w:color="auto"/>
                    <w:left w:val="single" w:sz="4" w:space="0" w:color="auto"/>
                    <w:bottom w:val="nil"/>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rPr>
                  </w:pPr>
                  <w:r w:rsidRPr="00353FD1">
                    <w:rPr>
                      <w:rFonts w:ascii="Times New Roman" w:eastAsia="Times New Roman" w:hAnsi="Times New Roman" w:cs="Times New Roman"/>
                      <w:b/>
                      <w:sz w:val="18"/>
                      <w:szCs w:val="18"/>
                    </w:rPr>
                    <w:t>Yönetmeliğin Yayımlandığı Resmî Gazete'nin</w:t>
                  </w:r>
                </w:p>
              </w:tc>
            </w:tr>
            <w:tr w:rsidR="00353FD1" w:rsidRPr="00353FD1">
              <w:trPr>
                <w:jc w:val="center"/>
              </w:trPr>
              <w:tc>
                <w:tcPr>
                  <w:tcW w:w="4254" w:type="dxa"/>
                  <w:gridSpan w:val="2"/>
                  <w:tcBorders>
                    <w:top w:val="nil"/>
                    <w:left w:val="single" w:sz="4" w:space="0" w:color="auto"/>
                    <w:bottom w:val="single" w:sz="4" w:space="0" w:color="auto"/>
                    <w:right w:val="nil"/>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rPr>
                  </w:pPr>
                  <w:r w:rsidRPr="00353FD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rPr>
                  </w:pPr>
                  <w:r w:rsidRPr="00353FD1">
                    <w:rPr>
                      <w:rFonts w:ascii="Times New Roman" w:eastAsia="Times New Roman" w:hAnsi="Times New Roman" w:cs="Times New Roman"/>
                      <w:b/>
                      <w:sz w:val="18"/>
                      <w:szCs w:val="18"/>
                    </w:rPr>
                    <w:t>Sayısı</w:t>
                  </w:r>
                </w:p>
              </w:tc>
            </w:tr>
            <w:tr w:rsidR="00353FD1" w:rsidRPr="00353FD1">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sz w:val="18"/>
                      <w:szCs w:val="18"/>
                    </w:rPr>
                  </w:pPr>
                  <w:proofErr w:type="gramStart"/>
                  <w:r w:rsidRPr="00353FD1">
                    <w:rPr>
                      <w:rFonts w:ascii="Times New Roman" w:eastAsia="Times New Roman" w:hAnsi="Times New Roman" w:cs="Times New Roman"/>
                      <w:sz w:val="18"/>
                      <w:szCs w:val="18"/>
                    </w:rPr>
                    <w:t>24/4/2013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sz w:val="18"/>
                      <w:szCs w:val="18"/>
                    </w:rPr>
                  </w:pPr>
                  <w:r w:rsidRPr="00353FD1">
                    <w:rPr>
                      <w:rFonts w:ascii="Times New Roman" w:eastAsia="Times New Roman" w:hAnsi="Times New Roman" w:cs="Times New Roman"/>
                      <w:sz w:val="18"/>
                      <w:szCs w:val="18"/>
                    </w:rPr>
                    <w:t>28627</w:t>
                  </w:r>
                </w:p>
              </w:tc>
            </w:tr>
            <w:tr w:rsidR="00353FD1" w:rsidRPr="00353FD1">
              <w:trPr>
                <w:jc w:val="center"/>
              </w:trPr>
              <w:tc>
                <w:tcPr>
                  <w:tcW w:w="8505" w:type="dxa"/>
                  <w:gridSpan w:val="3"/>
                  <w:tcBorders>
                    <w:top w:val="single" w:sz="4" w:space="0" w:color="auto"/>
                    <w:left w:val="single" w:sz="4" w:space="0" w:color="auto"/>
                    <w:bottom w:val="nil"/>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rPr>
                  </w:pPr>
                  <w:r w:rsidRPr="00353FD1">
                    <w:rPr>
                      <w:rFonts w:ascii="Times New Roman" w:eastAsia="Times New Roman" w:hAnsi="Times New Roman" w:cs="Times New Roman"/>
                      <w:b/>
                      <w:sz w:val="18"/>
                      <w:szCs w:val="18"/>
                    </w:rPr>
                    <w:t>Yönetmelikte Değişiklik Yapan Yönetmeliklerin Yayımlandığı Resmî Gazete'nin</w:t>
                  </w:r>
                </w:p>
              </w:tc>
            </w:tr>
            <w:tr w:rsidR="00353FD1" w:rsidRPr="00353FD1">
              <w:trPr>
                <w:jc w:val="center"/>
              </w:trPr>
              <w:tc>
                <w:tcPr>
                  <w:tcW w:w="4254" w:type="dxa"/>
                  <w:gridSpan w:val="2"/>
                  <w:tcBorders>
                    <w:top w:val="nil"/>
                    <w:left w:val="single" w:sz="4" w:space="0" w:color="auto"/>
                    <w:bottom w:val="single" w:sz="4" w:space="0" w:color="auto"/>
                    <w:right w:val="nil"/>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rPr>
                  </w:pPr>
                  <w:r w:rsidRPr="00353FD1">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b/>
                      <w:sz w:val="18"/>
                      <w:szCs w:val="18"/>
                    </w:rPr>
                  </w:pPr>
                  <w:r w:rsidRPr="00353FD1">
                    <w:rPr>
                      <w:rFonts w:ascii="Times New Roman" w:eastAsia="Times New Roman" w:hAnsi="Times New Roman" w:cs="Times New Roman"/>
                      <w:b/>
                      <w:sz w:val="18"/>
                      <w:szCs w:val="18"/>
                    </w:rPr>
                    <w:t>Sayısı</w:t>
                  </w:r>
                </w:p>
              </w:tc>
            </w:tr>
            <w:tr w:rsidR="00353FD1" w:rsidRPr="00353FD1">
              <w:trPr>
                <w:jc w:val="center"/>
              </w:trPr>
              <w:tc>
                <w:tcPr>
                  <w:tcW w:w="437"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sz w:val="18"/>
                      <w:szCs w:val="18"/>
                    </w:rPr>
                  </w:pPr>
                  <w:r w:rsidRPr="00353FD1">
                    <w:rPr>
                      <w:rFonts w:ascii="Times New Roman" w:eastAsia="Times New Roman" w:hAnsi="Times New Roman"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353FD1">
                    <w:rPr>
                      <w:rFonts w:ascii="Times New Roman" w:eastAsia="Times New Roman" w:hAnsi="Times New Roman" w:cs="Times New Roman"/>
                      <w:sz w:val="18"/>
                      <w:szCs w:val="18"/>
                    </w:rPr>
                    <w:t>31/12/2013</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sz w:val="18"/>
                      <w:szCs w:val="18"/>
                    </w:rPr>
                  </w:pPr>
                  <w:r w:rsidRPr="00353FD1">
                    <w:rPr>
                      <w:rFonts w:ascii="Times New Roman" w:eastAsia="Times New Roman" w:hAnsi="Times New Roman" w:cs="Times New Roman"/>
                      <w:sz w:val="18"/>
                      <w:szCs w:val="18"/>
                    </w:rPr>
                    <w:t>28868</w:t>
                  </w:r>
                </w:p>
              </w:tc>
            </w:tr>
            <w:tr w:rsidR="00353FD1" w:rsidRPr="00353FD1">
              <w:trPr>
                <w:jc w:val="center"/>
              </w:trPr>
              <w:tc>
                <w:tcPr>
                  <w:tcW w:w="437"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sz w:val="18"/>
                      <w:szCs w:val="18"/>
                    </w:rPr>
                  </w:pPr>
                  <w:r w:rsidRPr="00353FD1">
                    <w:rPr>
                      <w:rFonts w:ascii="Times New Roman" w:eastAsia="Times New Roman" w:hAnsi="Times New Roman"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708"/>
                    </w:tabs>
                    <w:spacing w:after="0" w:line="240" w:lineRule="exact"/>
                    <w:ind w:right="469"/>
                    <w:jc w:val="center"/>
                    <w:rPr>
                      <w:rFonts w:ascii="Times New Roman" w:eastAsia="Times New Roman" w:hAnsi="Times New Roman" w:cs="Times New Roman"/>
                      <w:sz w:val="18"/>
                      <w:szCs w:val="18"/>
                    </w:rPr>
                  </w:pPr>
                  <w:proofErr w:type="gramStart"/>
                  <w:r w:rsidRPr="00353FD1">
                    <w:rPr>
                      <w:rFonts w:ascii="Times New Roman" w:eastAsia="Times New Roman" w:hAnsi="Times New Roman" w:cs="Times New Roman"/>
                      <w:sz w:val="18"/>
                      <w:szCs w:val="18"/>
                    </w:rPr>
                    <w:t>2/4/2015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353FD1" w:rsidRPr="00353FD1" w:rsidRDefault="00353FD1" w:rsidP="00353FD1">
                  <w:pPr>
                    <w:tabs>
                      <w:tab w:val="left" w:pos="566"/>
                    </w:tabs>
                    <w:spacing w:after="0" w:line="240" w:lineRule="exact"/>
                    <w:jc w:val="center"/>
                    <w:rPr>
                      <w:rFonts w:ascii="Times New Roman" w:eastAsia="Times New Roman" w:hAnsi="Times New Roman" w:cs="Times New Roman"/>
                      <w:sz w:val="18"/>
                      <w:szCs w:val="18"/>
                    </w:rPr>
                  </w:pPr>
                  <w:r w:rsidRPr="00353FD1">
                    <w:rPr>
                      <w:rFonts w:ascii="Times New Roman" w:eastAsia="Times New Roman" w:hAnsi="Times New Roman" w:cs="Times New Roman"/>
                      <w:sz w:val="18"/>
                      <w:szCs w:val="18"/>
                    </w:rPr>
                    <w:t>29314</w:t>
                  </w:r>
                </w:p>
              </w:tc>
            </w:tr>
          </w:tbl>
          <w:p w:rsidR="00353FD1" w:rsidRPr="00353FD1" w:rsidRDefault="00353FD1" w:rsidP="00353FD1">
            <w:pPr>
              <w:spacing w:before="100" w:beforeAutospacing="1" w:after="100" w:afterAutospacing="1" w:line="240" w:lineRule="exact"/>
              <w:jc w:val="center"/>
              <w:rPr>
                <w:rFonts w:ascii="Times New Roman" w:eastAsia="Times New Roman" w:hAnsi="Times New Roman" w:cs="Times New Roman"/>
                <w:sz w:val="18"/>
                <w:szCs w:val="18"/>
                <w:lang w:eastAsia="tr-TR"/>
              </w:rPr>
            </w:pPr>
          </w:p>
        </w:tc>
      </w:tr>
    </w:tbl>
    <w:p w:rsidR="00917117" w:rsidRDefault="00917117"/>
    <w:sectPr w:rsidR="00917117" w:rsidSect="0091711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353FD1"/>
    <w:rsid w:val="00353FD1"/>
    <w:rsid w:val="0091711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11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353F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353FD1"/>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353FD1"/>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353FD1"/>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353FD1"/>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Company/>
  <LinksUpToDate>false</LinksUpToDate>
  <CharactersWithSpaces>1316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2015-06-26T05:38:00Z</dcterms:created>
  <dcterms:modified xsi:type="dcterms:W3CDTF">2015-06-26T05:38:00Z</dcterms:modified>
</cp:coreProperties>
</file>