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550F3" w:rsidRPr="001550F3" w:rsidTr="001550F3">
        <w:trPr>
          <w:jc w:val="center"/>
        </w:trPr>
        <w:tc>
          <w:tcPr>
            <w:tcW w:w="9104" w:type="dxa"/>
            <w:hideMark/>
          </w:tcPr>
          <w:tbl>
            <w:tblPr>
              <w:tblW w:w="8789" w:type="dxa"/>
              <w:jc w:val="center"/>
              <w:tblLook w:val="01E0"/>
            </w:tblPr>
            <w:tblGrid>
              <w:gridCol w:w="2931"/>
              <w:gridCol w:w="2931"/>
              <w:gridCol w:w="2927"/>
            </w:tblGrid>
            <w:tr w:rsidR="001550F3" w:rsidRPr="001550F3">
              <w:trPr>
                <w:trHeight w:val="317"/>
                <w:jc w:val="center"/>
              </w:trPr>
              <w:tc>
                <w:tcPr>
                  <w:tcW w:w="2931" w:type="dxa"/>
                  <w:tcBorders>
                    <w:top w:val="nil"/>
                    <w:left w:val="nil"/>
                    <w:bottom w:val="single" w:sz="4" w:space="0" w:color="660066"/>
                    <w:right w:val="nil"/>
                  </w:tcBorders>
                  <w:vAlign w:val="center"/>
                  <w:hideMark/>
                </w:tcPr>
                <w:p w:rsidR="001550F3" w:rsidRPr="001550F3" w:rsidRDefault="001550F3" w:rsidP="001550F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550F3">
                    <w:rPr>
                      <w:rFonts w:ascii="Arial" w:eastAsia="Times New Roman" w:hAnsi="Arial" w:cs="Arial"/>
                      <w:sz w:val="16"/>
                      <w:szCs w:val="16"/>
                      <w:lang w:eastAsia="tr-TR"/>
                    </w:rPr>
                    <w:t>27 Haziran 2015 CUMARTESİ</w:t>
                  </w:r>
                </w:p>
              </w:tc>
              <w:tc>
                <w:tcPr>
                  <w:tcW w:w="2931" w:type="dxa"/>
                  <w:tcBorders>
                    <w:top w:val="nil"/>
                    <w:left w:val="nil"/>
                    <w:bottom w:val="single" w:sz="4" w:space="0" w:color="660066"/>
                    <w:right w:val="nil"/>
                  </w:tcBorders>
                  <w:vAlign w:val="center"/>
                  <w:hideMark/>
                </w:tcPr>
                <w:p w:rsidR="001550F3" w:rsidRPr="001550F3" w:rsidRDefault="001550F3" w:rsidP="001550F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550F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550F3" w:rsidRPr="001550F3" w:rsidRDefault="001550F3" w:rsidP="001550F3">
                  <w:pPr>
                    <w:spacing w:before="100" w:beforeAutospacing="1" w:after="100" w:afterAutospacing="1" w:line="240" w:lineRule="auto"/>
                    <w:jc w:val="right"/>
                    <w:rPr>
                      <w:rFonts w:ascii="Arial" w:eastAsia="Times New Roman" w:hAnsi="Arial" w:cs="Arial"/>
                      <w:sz w:val="16"/>
                      <w:szCs w:val="16"/>
                      <w:lang w:eastAsia="tr-TR"/>
                    </w:rPr>
                  </w:pPr>
                  <w:proofErr w:type="gramStart"/>
                  <w:r w:rsidRPr="001550F3">
                    <w:rPr>
                      <w:rFonts w:ascii="Arial" w:eastAsia="Times New Roman" w:hAnsi="Arial" w:cs="Arial"/>
                      <w:sz w:val="16"/>
                      <w:szCs w:val="16"/>
                      <w:lang w:eastAsia="tr-TR"/>
                    </w:rPr>
                    <w:t>Sayı : 29399</w:t>
                  </w:r>
                  <w:proofErr w:type="gramEnd"/>
                </w:p>
              </w:tc>
            </w:tr>
            <w:tr w:rsidR="001550F3" w:rsidRPr="001550F3">
              <w:trPr>
                <w:trHeight w:val="480"/>
                <w:jc w:val="center"/>
              </w:trPr>
              <w:tc>
                <w:tcPr>
                  <w:tcW w:w="8789" w:type="dxa"/>
                  <w:gridSpan w:val="3"/>
                  <w:vAlign w:val="center"/>
                  <w:hideMark/>
                </w:tcPr>
                <w:p w:rsidR="001550F3" w:rsidRPr="001550F3" w:rsidRDefault="001550F3" w:rsidP="001550F3">
                  <w:pPr>
                    <w:spacing w:before="100" w:beforeAutospacing="1" w:after="100" w:afterAutospacing="1" w:line="240" w:lineRule="auto"/>
                    <w:jc w:val="center"/>
                    <w:rPr>
                      <w:rFonts w:ascii="Arial" w:eastAsia="Times New Roman" w:hAnsi="Arial" w:cs="Arial"/>
                      <w:b/>
                      <w:color w:val="000080"/>
                      <w:sz w:val="18"/>
                      <w:szCs w:val="18"/>
                      <w:lang w:eastAsia="tr-TR"/>
                    </w:rPr>
                  </w:pPr>
                  <w:r w:rsidRPr="001550F3">
                    <w:rPr>
                      <w:rFonts w:ascii="Arial" w:eastAsia="Times New Roman" w:hAnsi="Arial" w:cs="Arial"/>
                      <w:b/>
                      <w:color w:val="000080"/>
                      <w:sz w:val="18"/>
                      <w:szCs w:val="18"/>
                      <w:lang w:eastAsia="tr-TR"/>
                    </w:rPr>
                    <w:t>TEBLİĞ</w:t>
                  </w:r>
                </w:p>
              </w:tc>
            </w:tr>
            <w:tr w:rsidR="001550F3" w:rsidRPr="001550F3">
              <w:trPr>
                <w:trHeight w:val="480"/>
                <w:jc w:val="center"/>
              </w:trPr>
              <w:tc>
                <w:tcPr>
                  <w:tcW w:w="8789" w:type="dxa"/>
                  <w:gridSpan w:val="3"/>
                  <w:vAlign w:val="center"/>
                </w:tcPr>
                <w:p w:rsidR="001550F3" w:rsidRPr="001550F3" w:rsidRDefault="001550F3" w:rsidP="001550F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550F3">
                    <w:rPr>
                      <w:rFonts w:ascii="Times New Roman" w:eastAsia="Times New Roman" w:hAnsi="Times New Roman" w:cs="Times New Roman"/>
                      <w:sz w:val="18"/>
                      <w:szCs w:val="18"/>
                      <w:u w:val="single"/>
                      <w:lang w:eastAsia="tr-TR"/>
                    </w:rPr>
                    <w:t>Maliye Bakanlığı (Gelir İdaresi Başkanlığı)’</w:t>
                  </w:r>
                  <w:proofErr w:type="spellStart"/>
                  <w:r w:rsidRPr="001550F3">
                    <w:rPr>
                      <w:rFonts w:ascii="Times New Roman" w:eastAsia="Times New Roman" w:hAnsi="Times New Roman" w:cs="Times New Roman"/>
                      <w:sz w:val="18"/>
                      <w:szCs w:val="18"/>
                      <w:u w:val="single"/>
                      <w:lang w:eastAsia="tr-TR"/>
                    </w:rPr>
                    <w:t>ndan</w:t>
                  </w:r>
                  <w:proofErr w:type="spellEnd"/>
                  <w:r w:rsidRPr="001550F3">
                    <w:rPr>
                      <w:rFonts w:ascii="Times New Roman" w:eastAsia="Times New Roman" w:hAnsi="Times New Roman" w:cs="Times New Roman"/>
                      <w:sz w:val="18"/>
                      <w:szCs w:val="18"/>
                      <w:u w:val="single"/>
                      <w:lang w:eastAsia="tr-TR"/>
                    </w:rPr>
                    <w:t>:</w:t>
                  </w:r>
                </w:p>
                <w:p w:rsidR="001550F3" w:rsidRPr="001550F3" w:rsidRDefault="001550F3" w:rsidP="001550F3">
                  <w:pPr>
                    <w:tabs>
                      <w:tab w:val="left" w:pos="566"/>
                    </w:tabs>
                    <w:spacing w:after="0" w:line="240" w:lineRule="exact"/>
                    <w:jc w:val="center"/>
                    <w:rPr>
                      <w:rFonts w:ascii="Times New Roman" w:eastAsia="Times New Roman" w:hAnsi="Times New Roman" w:cs="Times New Roman"/>
                      <w:b/>
                      <w:sz w:val="18"/>
                      <w:szCs w:val="18"/>
                      <w:lang w:eastAsia="tr-TR"/>
                    </w:rPr>
                  </w:pPr>
                  <w:r w:rsidRPr="001550F3">
                    <w:rPr>
                      <w:rFonts w:ascii="Times New Roman" w:eastAsia="Times New Roman" w:hAnsi="Times New Roman" w:cs="Times New Roman"/>
                      <w:b/>
                      <w:sz w:val="18"/>
                      <w:szCs w:val="18"/>
                      <w:lang w:eastAsia="tr-TR"/>
                    </w:rPr>
                    <w:t>KATMA DEĞER VERGİSİ GENEL UYGULAMA TEBLİĞİNDE</w:t>
                  </w:r>
                </w:p>
                <w:p w:rsidR="001550F3" w:rsidRPr="001550F3" w:rsidRDefault="001550F3" w:rsidP="001550F3">
                  <w:pPr>
                    <w:tabs>
                      <w:tab w:val="left" w:pos="566"/>
                    </w:tabs>
                    <w:spacing w:after="0" w:line="240" w:lineRule="exact"/>
                    <w:jc w:val="center"/>
                    <w:rPr>
                      <w:rFonts w:ascii="Times New Roman" w:eastAsia="Times New Roman" w:hAnsi="Times New Roman" w:cs="Times New Roman"/>
                      <w:b/>
                      <w:sz w:val="18"/>
                      <w:szCs w:val="18"/>
                      <w:lang w:eastAsia="tr-TR"/>
                    </w:rPr>
                  </w:pPr>
                  <w:r w:rsidRPr="001550F3">
                    <w:rPr>
                      <w:rFonts w:ascii="Times New Roman" w:eastAsia="Times New Roman" w:hAnsi="Times New Roman" w:cs="Times New Roman"/>
                      <w:b/>
                      <w:sz w:val="18"/>
                      <w:szCs w:val="18"/>
                      <w:lang w:eastAsia="tr-TR"/>
                    </w:rPr>
                    <w:t>DEĞİŞİKLİK YAPILMASINA DAİR TEBLİĞ</w:t>
                  </w:r>
                </w:p>
                <w:p w:rsidR="001550F3" w:rsidRPr="001550F3" w:rsidRDefault="001550F3" w:rsidP="001550F3">
                  <w:pPr>
                    <w:tabs>
                      <w:tab w:val="left" w:pos="566"/>
                    </w:tabs>
                    <w:spacing w:after="0" w:line="240" w:lineRule="exact"/>
                    <w:jc w:val="center"/>
                    <w:rPr>
                      <w:rFonts w:ascii="Times New Roman" w:eastAsia="Times New Roman" w:hAnsi="Times New Roman" w:cs="Times New Roman"/>
                      <w:b/>
                      <w:sz w:val="18"/>
                      <w:szCs w:val="18"/>
                      <w:lang w:eastAsia="tr-TR"/>
                    </w:rPr>
                  </w:pPr>
                  <w:r w:rsidRPr="001550F3">
                    <w:rPr>
                      <w:rFonts w:ascii="Times New Roman" w:eastAsia="Times New Roman" w:hAnsi="Times New Roman" w:cs="Times New Roman"/>
                      <w:b/>
                      <w:sz w:val="18"/>
                      <w:szCs w:val="18"/>
                      <w:lang w:eastAsia="tr-TR"/>
                    </w:rPr>
                    <w:t>(SERİ NO: 3)</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550F3">
                    <w:rPr>
                      <w:rFonts w:ascii="Times New Roman" w:eastAsia="Times New Roman" w:hAnsi="Times New Roman" w:cs="Times New Roman"/>
                      <w:sz w:val="18"/>
                      <w:szCs w:val="18"/>
                      <w:lang w:eastAsia="tr-TR"/>
                    </w:rPr>
                    <w:t>27/3/2015</w:t>
                  </w:r>
                  <w:proofErr w:type="gramEnd"/>
                  <w:r w:rsidRPr="001550F3">
                    <w:rPr>
                      <w:rFonts w:ascii="Times New Roman" w:eastAsia="Times New Roman" w:hAnsi="Times New Roman" w:cs="Times New Roman"/>
                      <w:sz w:val="18"/>
                      <w:szCs w:val="18"/>
                      <w:lang w:eastAsia="tr-TR"/>
                    </w:rPr>
                    <w:t xml:space="preserve"> tarihli ve 6637 sayılı Bazı Kanun ve Kanun Hükmünde Kararnamelerde Değişiklik Yapılmasına Dair Kanun ile 25/10/1984 tarihli ve 3065 sayılı Katma Değer Vergisi (KDV) Kanununa eklenen geçici 34 üncü maddenin Maliye Bakanlığına verdiği yetki çerçevesinde, 26/4/2014 tarihli ve 28983 sayılı Resmî Gazete’de yayımlanan KDV Genel Uygulama Tebliğinin (II/E) bölümünün sonuna başlığıyla birlikte aşağıdaki metin eklenmiştir.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b/>
                      <w:sz w:val="18"/>
                      <w:szCs w:val="18"/>
                      <w:lang w:eastAsia="tr-TR"/>
                    </w:rPr>
                  </w:pPr>
                  <w:r w:rsidRPr="001550F3">
                    <w:rPr>
                      <w:rFonts w:ascii="Times New Roman" w:eastAsia="Times New Roman" w:hAnsi="Times New Roman" w:cs="Times New Roman"/>
                      <w:b/>
                      <w:sz w:val="18"/>
                      <w:szCs w:val="18"/>
                      <w:lang w:eastAsia="tr-TR"/>
                    </w:rPr>
                    <w:t xml:space="preserve">“6. Milletlerarası </w:t>
                  </w:r>
                  <w:proofErr w:type="spellStart"/>
                  <w:r w:rsidRPr="001550F3">
                    <w:rPr>
                      <w:rFonts w:ascii="Times New Roman" w:eastAsia="Times New Roman" w:hAnsi="Times New Roman" w:cs="Times New Roman"/>
                      <w:b/>
                      <w:sz w:val="18"/>
                      <w:szCs w:val="18"/>
                      <w:lang w:eastAsia="tr-TR"/>
                    </w:rPr>
                    <w:t>Andlaşma</w:t>
                  </w:r>
                  <w:proofErr w:type="spellEnd"/>
                  <w:r w:rsidRPr="001550F3">
                    <w:rPr>
                      <w:rFonts w:ascii="Times New Roman" w:eastAsia="Times New Roman" w:hAnsi="Times New Roman" w:cs="Times New Roman"/>
                      <w:b/>
                      <w:sz w:val="18"/>
                      <w:szCs w:val="18"/>
                      <w:lang w:eastAsia="tr-TR"/>
                    </w:rPr>
                    <w:t xml:space="preserve"> Hükümleri Çerçevesinde KDV’den İstisna Edilmiş Olan Transit Petrol Boru Hattı Projelerinin İnşa ve Modernizasyonuna İlişkin İstisna</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b/>
                      <w:sz w:val="18"/>
                      <w:szCs w:val="18"/>
                      <w:lang w:eastAsia="tr-TR"/>
                    </w:rPr>
                    <w:t>6.1. İstisnanın Kapsamı</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6637 sayılı Kanun ile 3065 sayılı Kanuna eklenen geçici 34 üncü maddede;</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maddenin yürürlüğe girdiği tarihten önce usulüne uygun olarak yürürlüğe giren ve </w:t>
                  </w:r>
                  <w:proofErr w:type="gramStart"/>
                  <w:r w:rsidRPr="001550F3">
                    <w:rPr>
                      <w:rFonts w:ascii="Times New Roman" w:eastAsia="Times New Roman" w:hAnsi="Times New Roman" w:cs="Times New Roman"/>
                      <w:sz w:val="18"/>
                      <w:szCs w:val="18"/>
                      <w:lang w:eastAsia="tr-TR"/>
                    </w:rPr>
                    <w:t>23/6/2000</w:t>
                  </w:r>
                  <w:proofErr w:type="gramEnd"/>
                  <w:r w:rsidRPr="001550F3">
                    <w:rPr>
                      <w:rFonts w:ascii="Times New Roman" w:eastAsia="Times New Roman" w:hAnsi="Times New Roman" w:cs="Times New Roman"/>
                      <w:sz w:val="18"/>
                      <w:szCs w:val="18"/>
                      <w:lang w:eastAsia="tr-TR"/>
                    </w:rPr>
                    <w:t xml:space="preserve"> tarihli ve 4586 sayılı Petrolün Boru Hatları ile Transit Geçişine Dair Kanun kapsamında bulunan milletlerarası </w:t>
                  </w:r>
                  <w:proofErr w:type="spellStart"/>
                  <w:r w:rsidRPr="001550F3">
                    <w:rPr>
                      <w:rFonts w:ascii="Times New Roman" w:eastAsia="Times New Roman" w:hAnsi="Times New Roman" w:cs="Times New Roman"/>
                      <w:sz w:val="18"/>
                      <w:szCs w:val="18"/>
                      <w:lang w:eastAsia="tr-TR"/>
                    </w:rPr>
                    <w:t>andlaşma</w:t>
                  </w:r>
                  <w:proofErr w:type="spellEnd"/>
                  <w:r w:rsidRPr="001550F3">
                    <w:rPr>
                      <w:rFonts w:ascii="Times New Roman" w:eastAsia="Times New Roman" w:hAnsi="Times New Roman" w:cs="Times New Roman"/>
                      <w:sz w:val="18"/>
                      <w:szCs w:val="18"/>
                      <w:lang w:eastAsia="tr-TR"/>
                    </w:rPr>
                    <w:t xml:space="preserve"> hükümleri çerçevesinde katma değer vergisinden istisna edilmiş olan transit petrol boru hattı projelerinin inşa ve modernizasyonunu gerçekleştirenlere 1/1/2014 tarihinden itibaren yapılan teslim ve hizmetler katma değer vergisinden müstesnadır.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kapsamda yapılan mal teslimleri ve hizmet ifaları nedeniyle yüklenilen vergiler, vergiye tabi işlemler üzerinden hesaplanan vergiden indirilir. İndirim yoluyla telafi edilemeyen vergiler, 32 </w:t>
                  </w:r>
                  <w:proofErr w:type="spellStart"/>
                  <w:r w:rsidRPr="001550F3">
                    <w:rPr>
                      <w:rFonts w:ascii="Times New Roman" w:eastAsia="Times New Roman" w:hAnsi="Times New Roman" w:cs="Times New Roman"/>
                      <w:sz w:val="18"/>
                      <w:szCs w:val="18"/>
                      <w:lang w:eastAsia="tr-TR"/>
                    </w:rPr>
                    <w:t>nci</w:t>
                  </w:r>
                  <w:proofErr w:type="spellEnd"/>
                  <w:r w:rsidRPr="001550F3">
                    <w:rPr>
                      <w:rFonts w:ascii="Times New Roman" w:eastAsia="Times New Roman" w:hAnsi="Times New Roman" w:cs="Times New Roman"/>
                      <w:sz w:val="18"/>
                      <w:szCs w:val="18"/>
                      <w:lang w:eastAsia="tr-TR"/>
                    </w:rPr>
                    <w:t xml:space="preserve"> madde hükmü uyarınca istisna kapsamında işlem yapan mükellefin talebi üzerine iade edilir.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Maliye Bakanlığı, istisna kapsamına girecek teslim ve hizmetleri tanımlamaya, istisna ve iadeye ilişkin usul ve esasları belirlemeye yetkilidir.” hükmü yer almaktadır.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Buna göre, söz konusu istisna hükmünün uygulanabilmesi için;</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madde hükmünün yürürlüğe girdiği </w:t>
                  </w:r>
                  <w:proofErr w:type="gramStart"/>
                  <w:r w:rsidRPr="001550F3">
                    <w:rPr>
                      <w:rFonts w:ascii="Times New Roman" w:eastAsia="Times New Roman" w:hAnsi="Times New Roman" w:cs="Times New Roman"/>
                      <w:sz w:val="18"/>
                      <w:szCs w:val="18"/>
                      <w:lang w:eastAsia="tr-TR"/>
                    </w:rPr>
                    <w:t>7/4/2015</w:t>
                  </w:r>
                  <w:proofErr w:type="gramEnd"/>
                  <w:r w:rsidRPr="001550F3">
                    <w:rPr>
                      <w:rFonts w:ascii="Times New Roman" w:eastAsia="Times New Roman" w:hAnsi="Times New Roman" w:cs="Times New Roman"/>
                      <w:sz w:val="18"/>
                      <w:szCs w:val="18"/>
                      <w:lang w:eastAsia="tr-TR"/>
                    </w:rPr>
                    <w:t xml:space="preserve"> tarihinden önce usulüne uygun olarak yürürlüğe girmiş bir milletlerarası </w:t>
                  </w:r>
                  <w:proofErr w:type="spellStart"/>
                  <w:r w:rsidRPr="001550F3">
                    <w:rPr>
                      <w:rFonts w:ascii="Times New Roman" w:eastAsia="Times New Roman" w:hAnsi="Times New Roman" w:cs="Times New Roman"/>
                      <w:sz w:val="18"/>
                      <w:szCs w:val="18"/>
                      <w:lang w:eastAsia="tr-TR"/>
                    </w:rPr>
                    <w:t>andlaşma</w:t>
                  </w:r>
                  <w:proofErr w:type="spellEnd"/>
                  <w:r w:rsidRPr="001550F3">
                    <w:rPr>
                      <w:rFonts w:ascii="Times New Roman" w:eastAsia="Times New Roman" w:hAnsi="Times New Roman" w:cs="Times New Roman"/>
                      <w:sz w:val="18"/>
                      <w:szCs w:val="18"/>
                      <w:lang w:eastAsia="tr-TR"/>
                    </w:rPr>
                    <w:t xml:space="preserve"> olması,</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w:t>
                  </w:r>
                  <w:proofErr w:type="spellStart"/>
                  <w:r w:rsidRPr="001550F3">
                    <w:rPr>
                      <w:rFonts w:ascii="Times New Roman" w:eastAsia="Times New Roman" w:hAnsi="Times New Roman" w:cs="Times New Roman"/>
                      <w:sz w:val="18"/>
                      <w:szCs w:val="18"/>
                      <w:lang w:eastAsia="tr-TR"/>
                    </w:rPr>
                    <w:t>andlaşmanın</w:t>
                  </w:r>
                  <w:proofErr w:type="spellEnd"/>
                  <w:r w:rsidRPr="001550F3">
                    <w:rPr>
                      <w:rFonts w:ascii="Times New Roman" w:eastAsia="Times New Roman" w:hAnsi="Times New Roman" w:cs="Times New Roman"/>
                      <w:sz w:val="18"/>
                      <w:szCs w:val="18"/>
                      <w:lang w:eastAsia="tr-TR"/>
                    </w:rPr>
                    <w:t xml:space="preserve"> </w:t>
                  </w:r>
                  <w:proofErr w:type="gramStart"/>
                  <w:r w:rsidRPr="001550F3">
                    <w:rPr>
                      <w:rFonts w:ascii="Times New Roman" w:eastAsia="Times New Roman" w:hAnsi="Times New Roman" w:cs="Times New Roman"/>
                      <w:sz w:val="18"/>
                      <w:szCs w:val="18"/>
                      <w:lang w:eastAsia="tr-TR"/>
                    </w:rPr>
                    <w:t>23/6/2000</w:t>
                  </w:r>
                  <w:proofErr w:type="gramEnd"/>
                  <w:r w:rsidRPr="001550F3">
                    <w:rPr>
                      <w:rFonts w:ascii="Times New Roman" w:eastAsia="Times New Roman" w:hAnsi="Times New Roman" w:cs="Times New Roman"/>
                      <w:sz w:val="18"/>
                      <w:szCs w:val="18"/>
                      <w:lang w:eastAsia="tr-TR"/>
                    </w:rPr>
                    <w:t xml:space="preserve"> tarihli ve 4586 sayılı Petrolün Boru Hatları ile Transit Geçişine Dair Kanun kapsamında bulunması,</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-Milletlerarası </w:t>
                  </w:r>
                  <w:proofErr w:type="spellStart"/>
                  <w:r w:rsidRPr="001550F3">
                    <w:rPr>
                      <w:rFonts w:ascii="Times New Roman" w:eastAsia="Times New Roman" w:hAnsi="Times New Roman" w:cs="Times New Roman"/>
                      <w:sz w:val="18"/>
                      <w:szCs w:val="18"/>
                      <w:lang w:eastAsia="tr-TR"/>
                    </w:rPr>
                    <w:t>andlaşmada</w:t>
                  </w:r>
                  <w:proofErr w:type="spellEnd"/>
                  <w:r w:rsidRPr="001550F3">
                    <w:rPr>
                      <w:rFonts w:ascii="Times New Roman" w:eastAsia="Times New Roman" w:hAnsi="Times New Roman" w:cs="Times New Roman"/>
                      <w:sz w:val="18"/>
                      <w:szCs w:val="18"/>
                      <w:lang w:eastAsia="tr-TR"/>
                    </w:rPr>
                    <w:t xml:space="preserve"> inşa ve modernize edilecek transit petrol boru hatlarının KDV’den istisna edildiğine dair hüküm bulunması</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550F3">
                    <w:rPr>
                      <w:rFonts w:ascii="Times New Roman" w:eastAsia="Times New Roman" w:hAnsi="Times New Roman" w:cs="Times New Roman"/>
                      <w:sz w:val="18"/>
                      <w:szCs w:val="18"/>
                      <w:lang w:eastAsia="tr-TR"/>
                    </w:rPr>
                    <w:t>gerekmektedir</w:t>
                  </w:r>
                  <w:proofErr w:type="gramEnd"/>
                  <w:r w:rsidRPr="001550F3">
                    <w:rPr>
                      <w:rFonts w:ascii="Times New Roman" w:eastAsia="Times New Roman" w:hAnsi="Times New Roman" w:cs="Times New Roman"/>
                      <w:sz w:val="18"/>
                      <w:szCs w:val="18"/>
                      <w:lang w:eastAsia="tr-TR"/>
                    </w:rPr>
                    <w:t>.</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şartlar </w:t>
                  </w:r>
                  <w:proofErr w:type="gramStart"/>
                  <w:r w:rsidRPr="001550F3">
                    <w:rPr>
                      <w:rFonts w:ascii="Times New Roman" w:eastAsia="Times New Roman" w:hAnsi="Times New Roman" w:cs="Times New Roman"/>
                      <w:sz w:val="18"/>
                      <w:szCs w:val="18"/>
                      <w:lang w:eastAsia="tr-TR"/>
                    </w:rPr>
                    <w:t>dahilindeki</w:t>
                  </w:r>
                  <w:proofErr w:type="gramEnd"/>
                  <w:r w:rsidRPr="001550F3">
                    <w:rPr>
                      <w:rFonts w:ascii="Times New Roman" w:eastAsia="Times New Roman" w:hAnsi="Times New Roman" w:cs="Times New Roman"/>
                      <w:sz w:val="18"/>
                      <w:szCs w:val="18"/>
                      <w:lang w:eastAsia="tr-TR"/>
                    </w:rPr>
                    <w:t xml:space="preserve"> transit petrol boru hatlarının inşa ve modernizasyonunu gerçekleştirenlere, inşa ve modernizasyona ilişkin yapılan teslim ve hizmetler, 1/1/2014 tarihinden itibaren KDV’den istisnadır.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Enerji ve Tabii Kaynaklar Bakanlığı, transit petrol boru hattı projesinin bu istisna kapsamında olduğuna ilişkin bir belge verir. Bu istisnadan Enerji ve Tabii Kaynaklar Bakanlığı tarafından verilen belge sahipleri yararlanabilir.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İstisna kapsamındaki projelerin inşa ve modernizasyonunu gerçekleştirenlere yapılacak teslim ve hizmetlerin, münhasıran bu hatların inşa ve modernizasyonuna ilişkin olması gerekir.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lastRenderedPageBreak/>
                    <w:t>Bu nedenle, belge sahiplerinin idari faaliyetleri ile idari bina, tesis ve teçhizatının inşası, kurulması ve işletilmesine ait mal ve hizmet alımlarına istisna uygulanmaz. Mobilya, mefruşat ve benzeri demirbaşlar ile binek otomobili, minibüs, otobüs ve benzeri araç alımları istisna kapsamında değerlendirilmez. İstisna kapsamında değerlendirilmeyen bu alımlara ilişkin yedek parça, yakıt, tadil, bakım ve onarım masrafları ile idari hizmet birimlerinin tadil, bakım, onarım, ısıtma, aydınlatma giderleri, her türlü büro malzemesi, kırtasiye, yiyecek, giyecek gibi alımlar ve temizlik hizmetlerinde de istisna uygulanmaz.</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Yapılan işin bütünü içerisinde istisna kapsamında olmayan mal ve hizmetlerin bulunması halinde bunlar ayrıca fatura edilir ve bu teslim veya hizmet bedelleri üzerinden KDV hesaplanır.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İnşa ve modernizasyon işlerinde doğrudan kullanılan mal ve hizmetlere ilişkin olarak, bu işlerde kullanılan boru, yedek parça, sarf malzemesi ve benzeri mal alımları ile inşa ve modernizasyonla ilgili yapım işleri, bu işlerde kullanılan malların taşınmasına yönelik nakliye hizmeti ve benzeri hizmetler istisna kapsamında değerlendirilir.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3065 sayılı Kanunun geçici 34 üncü maddesinde düzenlenen istisnanın uygulaması bu Tebliğin (II/B-3.2.2), beyanı (II/B-</w:t>
                  </w:r>
                  <w:proofErr w:type="gramStart"/>
                  <w:r w:rsidRPr="001550F3">
                    <w:rPr>
                      <w:rFonts w:ascii="Times New Roman" w:eastAsia="Times New Roman" w:hAnsi="Times New Roman" w:cs="Times New Roman"/>
                      <w:sz w:val="18"/>
                      <w:szCs w:val="18"/>
                      <w:lang w:eastAsia="tr-TR"/>
                    </w:rPr>
                    <w:t>3.3</w:t>
                  </w:r>
                  <w:proofErr w:type="gramEnd"/>
                  <w:r w:rsidRPr="001550F3">
                    <w:rPr>
                      <w:rFonts w:ascii="Times New Roman" w:eastAsia="Times New Roman" w:hAnsi="Times New Roman" w:cs="Times New Roman"/>
                      <w:sz w:val="18"/>
                      <w:szCs w:val="18"/>
                      <w:lang w:eastAsia="tr-TR"/>
                    </w:rPr>
                    <w:t>), iadesi (II/B-3.4) bölümünde yapılan açıklamalar çerçevesinde yürütülür.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b/>
                      <w:sz w:val="18"/>
                      <w:szCs w:val="18"/>
                      <w:lang w:eastAsia="tr-TR"/>
                    </w:rPr>
                  </w:pPr>
                  <w:r w:rsidRPr="001550F3">
                    <w:rPr>
                      <w:rFonts w:ascii="Times New Roman" w:eastAsia="Times New Roman" w:hAnsi="Times New Roman" w:cs="Times New Roman"/>
                      <w:b/>
                      <w:sz w:val="18"/>
                      <w:szCs w:val="18"/>
                      <w:lang w:eastAsia="tr-TR"/>
                    </w:rPr>
                    <w:t>6.2. Müteselsil Sorumluluk</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istisna kapsamında işlem yapılabilmesi için, istisna belgesinin, teslim veya hizmeti yapacak olan satıcı mükellefe ibraz edilmesi şarttır. Mükelleflerin bu belge olmadan istisna uygulamaları halinde, istisna uygulaması nedeniyle </w:t>
                  </w:r>
                  <w:proofErr w:type="spellStart"/>
                  <w:r w:rsidRPr="001550F3">
                    <w:rPr>
                      <w:rFonts w:ascii="Times New Roman" w:eastAsia="Times New Roman" w:hAnsi="Times New Roman" w:cs="Times New Roman"/>
                      <w:sz w:val="18"/>
                      <w:szCs w:val="18"/>
                      <w:lang w:eastAsia="tr-TR"/>
                    </w:rPr>
                    <w:t>ziyaa</w:t>
                  </w:r>
                  <w:proofErr w:type="spellEnd"/>
                  <w:r w:rsidRPr="001550F3">
                    <w:rPr>
                      <w:rFonts w:ascii="Times New Roman" w:eastAsia="Times New Roman" w:hAnsi="Times New Roman" w:cs="Times New Roman"/>
                      <w:sz w:val="18"/>
                      <w:szCs w:val="18"/>
                      <w:lang w:eastAsia="tr-TR"/>
                    </w:rPr>
                    <w:t xml:space="preserve"> uğratılan vergi, ceza, zam ve faizlerden teslim veya hizmeti yapan mükellefler ile birlikte teslim veya hizmet yapılan alıcı da </w:t>
                  </w:r>
                  <w:proofErr w:type="spellStart"/>
                  <w:r w:rsidRPr="001550F3">
                    <w:rPr>
                      <w:rFonts w:ascii="Times New Roman" w:eastAsia="Times New Roman" w:hAnsi="Times New Roman" w:cs="Times New Roman"/>
                      <w:sz w:val="18"/>
                      <w:szCs w:val="18"/>
                      <w:lang w:eastAsia="tr-TR"/>
                    </w:rPr>
                    <w:t>müteselsilen</w:t>
                  </w:r>
                  <w:proofErr w:type="spellEnd"/>
                  <w:r w:rsidRPr="001550F3">
                    <w:rPr>
                      <w:rFonts w:ascii="Times New Roman" w:eastAsia="Times New Roman" w:hAnsi="Times New Roman" w:cs="Times New Roman"/>
                      <w:sz w:val="18"/>
                      <w:szCs w:val="18"/>
                      <w:lang w:eastAsia="tr-TR"/>
                    </w:rPr>
                    <w:t xml:space="preserve"> sorumludur.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İşlemin, istisna için bu bölümde açıklanan şartları baştan taşımadığı ya da şartların daha sonra ihlal edildiğinin tespiti halinde, </w:t>
                  </w:r>
                  <w:proofErr w:type="spellStart"/>
                  <w:r w:rsidRPr="001550F3">
                    <w:rPr>
                      <w:rFonts w:ascii="Times New Roman" w:eastAsia="Times New Roman" w:hAnsi="Times New Roman" w:cs="Times New Roman"/>
                      <w:sz w:val="18"/>
                      <w:szCs w:val="18"/>
                      <w:lang w:eastAsia="tr-TR"/>
                    </w:rPr>
                    <w:t>ziyaa</w:t>
                  </w:r>
                  <w:proofErr w:type="spellEnd"/>
                  <w:r w:rsidRPr="001550F3">
                    <w:rPr>
                      <w:rFonts w:ascii="Times New Roman" w:eastAsia="Times New Roman" w:hAnsi="Times New Roman" w:cs="Times New Roman"/>
                      <w:sz w:val="18"/>
                      <w:szCs w:val="18"/>
                      <w:lang w:eastAsia="tr-TR"/>
                    </w:rPr>
                    <w:t xml:space="preserve"> uğratılan vergi ile buna bağlı ceza, faiz ve zamlar, kendisine istisna kapsamında teslim veya hizmet yapılan alıcıdan aranır.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b/>
                      <w:sz w:val="18"/>
                      <w:szCs w:val="18"/>
                      <w:lang w:eastAsia="tr-TR"/>
                    </w:rPr>
                    <w:t xml:space="preserve">6.3. </w:t>
                  </w:r>
                  <w:proofErr w:type="gramStart"/>
                  <w:r w:rsidRPr="001550F3">
                    <w:rPr>
                      <w:rFonts w:ascii="Times New Roman" w:eastAsia="Times New Roman" w:hAnsi="Times New Roman" w:cs="Times New Roman"/>
                      <w:b/>
                      <w:sz w:val="18"/>
                      <w:szCs w:val="18"/>
                      <w:lang w:eastAsia="tr-TR"/>
                    </w:rPr>
                    <w:t>1/1/2014</w:t>
                  </w:r>
                  <w:proofErr w:type="gramEnd"/>
                  <w:r w:rsidRPr="001550F3">
                    <w:rPr>
                      <w:rFonts w:ascii="Times New Roman" w:eastAsia="Times New Roman" w:hAnsi="Times New Roman" w:cs="Times New Roman"/>
                      <w:b/>
                      <w:sz w:val="18"/>
                      <w:szCs w:val="18"/>
                      <w:lang w:eastAsia="tr-TR"/>
                    </w:rPr>
                    <w:t xml:space="preserve"> Tarihinden İstisna Belgesinin Alındığı Tarihe Kadar KDV Ödenerek Yapılan Alımlar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3065 sayılı Kanunun geçici 34 üncü maddesi </w:t>
                  </w:r>
                  <w:proofErr w:type="gramStart"/>
                  <w:r w:rsidRPr="001550F3">
                    <w:rPr>
                      <w:rFonts w:ascii="Times New Roman" w:eastAsia="Times New Roman" w:hAnsi="Times New Roman" w:cs="Times New Roman"/>
                      <w:sz w:val="18"/>
                      <w:szCs w:val="18"/>
                      <w:lang w:eastAsia="tr-TR"/>
                    </w:rPr>
                    <w:t>7/4/2015</w:t>
                  </w:r>
                  <w:proofErr w:type="gramEnd"/>
                  <w:r w:rsidRPr="001550F3">
                    <w:rPr>
                      <w:rFonts w:ascii="Times New Roman" w:eastAsia="Times New Roman" w:hAnsi="Times New Roman" w:cs="Times New Roman"/>
                      <w:sz w:val="18"/>
                      <w:szCs w:val="18"/>
                      <w:lang w:eastAsia="tr-TR"/>
                    </w:rPr>
                    <w:t xml:space="preserve"> tarihinde yürürlüğe girmekle birlikte istisna hükmü 1/1/2014 tarihinden itibaren yapılan teslim ve hizmetleri de kapsamaktadır.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Bu istisna kapsamında yapılan mal teslimleri ve hizmet ifaları nedeniyle yüklenilen vergiler, vergiye tabi işlemler üzerinden hesaplanan vergiden indirilir. İndirim yoluyla telafi edilemeyen vergiler, 3065 sayılı Kanunun 32 </w:t>
                  </w:r>
                  <w:proofErr w:type="spellStart"/>
                  <w:r w:rsidRPr="001550F3">
                    <w:rPr>
                      <w:rFonts w:ascii="Times New Roman" w:eastAsia="Times New Roman" w:hAnsi="Times New Roman" w:cs="Times New Roman"/>
                      <w:sz w:val="18"/>
                      <w:szCs w:val="18"/>
                      <w:lang w:eastAsia="tr-TR"/>
                    </w:rPr>
                    <w:t>nci</w:t>
                  </w:r>
                  <w:proofErr w:type="spellEnd"/>
                  <w:r w:rsidRPr="001550F3">
                    <w:rPr>
                      <w:rFonts w:ascii="Times New Roman" w:eastAsia="Times New Roman" w:hAnsi="Times New Roman" w:cs="Times New Roman"/>
                      <w:sz w:val="18"/>
                      <w:szCs w:val="18"/>
                      <w:lang w:eastAsia="tr-TR"/>
                    </w:rPr>
                    <w:t xml:space="preserve"> maddesi hükmü uyarınca istisna kapsamında işlem yapan mükellefin talebi üzerine iade edilir.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 xml:space="preserve">Belge sahibi mükelleflerin </w:t>
                  </w:r>
                  <w:proofErr w:type="gramStart"/>
                  <w:r w:rsidRPr="001550F3">
                    <w:rPr>
                      <w:rFonts w:ascii="Times New Roman" w:eastAsia="Times New Roman" w:hAnsi="Times New Roman" w:cs="Times New Roman"/>
                      <w:sz w:val="18"/>
                      <w:szCs w:val="18"/>
                      <w:lang w:eastAsia="tr-TR"/>
                    </w:rPr>
                    <w:t>1/1/2014</w:t>
                  </w:r>
                  <w:proofErr w:type="gramEnd"/>
                  <w:r w:rsidRPr="001550F3">
                    <w:rPr>
                      <w:rFonts w:ascii="Times New Roman" w:eastAsia="Times New Roman" w:hAnsi="Times New Roman" w:cs="Times New Roman"/>
                      <w:sz w:val="18"/>
                      <w:szCs w:val="18"/>
                      <w:lang w:eastAsia="tr-TR"/>
                    </w:rPr>
                    <w:t xml:space="preserve"> tarihi ile istisna belgesinin alındığı tarih arasında bu Tebliğin (II/E-6.1) bölümünde yapılan açıklamalar çerçevesinde istisna kapsamında olan ancak, KDV ödemek suretiyle temin edilen mal ve hizmetlerle ilgili olarak bu Tebliğin (I/C-1.1) bölümünde yapılan açıklamalar çerçevesinde gerekli düzeltme işlemleri yapılır. Bu düzeltme işlemleri sonucu fazla veya yersiz olarak ödenmiş olan vergi satıcılara iade edilir.”</w:t>
                  </w:r>
                </w:p>
                <w:p w:rsidR="001550F3" w:rsidRPr="001550F3" w:rsidRDefault="001550F3" w:rsidP="001550F3">
                  <w:pPr>
                    <w:spacing w:before="100" w:beforeAutospacing="1" w:after="100" w:afterAutospacing="1" w:line="240" w:lineRule="exact"/>
                    <w:rPr>
                      <w:rFonts w:ascii="Times New Roman" w:eastAsia="Times New Roman" w:hAnsi="Times New Roman" w:cs="Times New Roman"/>
                      <w:sz w:val="18"/>
                      <w:szCs w:val="18"/>
                      <w:lang w:eastAsia="tr-TR"/>
                    </w:rPr>
                  </w:pPr>
                  <w:r w:rsidRPr="001550F3">
                    <w:rPr>
                      <w:rFonts w:ascii="Times New Roman" w:eastAsia="Times New Roman" w:hAnsi="Times New Roman" w:cs="Times New Roman"/>
                      <w:sz w:val="18"/>
                      <w:szCs w:val="18"/>
                      <w:lang w:eastAsia="tr-TR"/>
                    </w:rPr>
                    <w:t>Tebliğ olunur.</w:t>
                  </w:r>
                </w:p>
                <w:p w:rsidR="001550F3" w:rsidRPr="001550F3" w:rsidRDefault="001550F3" w:rsidP="001550F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550F3" w:rsidRPr="001550F3" w:rsidRDefault="001550F3" w:rsidP="001550F3">
            <w:pPr>
              <w:spacing w:after="0" w:line="240" w:lineRule="auto"/>
              <w:jc w:val="center"/>
              <w:rPr>
                <w:rFonts w:ascii="Times New Roman" w:eastAsia="Times New Roman" w:hAnsi="Times New Roman" w:cs="Times New Roman"/>
                <w:sz w:val="20"/>
                <w:szCs w:val="20"/>
                <w:lang w:eastAsia="tr-TR"/>
              </w:rPr>
            </w:pPr>
          </w:p>
        </w:tc>
      </w:tr>
    </w:tbl>
    <w:p w:rsidR="001550F3" w:rsidRPr="001550F3" w:rsidRDefault="001550F3" w:rsidP="001550F3">
      <w:pPr>
        <w:spacing w:after="0" w:line="240" w:lineRule="auto"/>
        <w:jc w:val="center"/>
        <w:rPr>
          <w:rFonts w:ascii="Times New Roman" w:eastAsia="Times New Roman" w:hAnsi="Times New Roman" w:cs="Times New Roman"/>
          <w:sz w:val="24"/>
          <w:szCs w:val="24"/>
          <w:lang w:eastAsia="tr-TR"/>
        </w:rPr>
      </w:pPr>
    </w:p>
    <w:p w:rsidR="00F53990" w:rsidRDefault="00F53990"/>
    <w:sectPr w:rsidR="00F53990" w:rsidSect="00F539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550F3"/>
    <w:rsid w:val="001550F3"/>
    <w:rsid w:val="00F539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550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550F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550F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1550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1424384">
      <w:bodyDiv w:val="1"/>
      <w:marLeft w:val="0"/>
      <w:marRight w:val="0"/>
      <w:marTop w:val="0"/>
      <w:marBottom w:val="0"/>
      <w:divBdr>
        <w:top w:val="none" w:sz="0" w:space="0" w:color="auto"/>
        <w:left w:val="none" w:sz="0" w:space="0" w:color="auto"/>
        <w:bottom w:val="none" w:sz="0" w:space="0" w:color="auto"/>
        <w:right w:val="none" w:sz="0" w:space="0" w:color="auto"/>
      </w:divBdr>
      <w:divsChild>
        <w:div w:id="380902426">
          <w:marLeft w:val="0"/>
          <w:marRight w:val="0"/>
          <w:marTop w:val="0"/>
          <w:marBottom w:val="0"/>
          <w:divBdr>
            <w:top w:val="none" w:sz="0" w:space="0" w:color="auto"/>
            <w:left w:val="none" w:sz="0" w:space="0" w:color="auto"/>
            <w:bottom w:val="none" w:sz="0" w:space="0" w:color="auto"/>
            <w:right w:val="none" w:sz="0" w:space="0" w:color="auto"/>
          </w:divBdr>
          <w:divsChild>
            <w:div w:id="105932481">
              <w:marLeft w:val="0"/>
              <w:marRight w:val="0"/>
              <w:marTop w:val="0"/>
              <w:marBottom w:val="0"/>
              <w:divBdr>
                <w:top w:val="none" w:sz="0" w:space="0" w:color="auto"/>
                <w:left w:val="none" w:sz="0" w:space="0" w:color="auto"/>
                <w:bottom w:val="none" w:sz="0" w:space="0" w:color="auto"/>
                <w:right w:val="none" w:sz="0" w:space="0" w:color="auto"/>
              </w:divBdr>
              <w:divsChild>
                <w:div w:id="114446195">
                  <w:marLeft w:val="0"/>
                  <w:marRight w:val="0"/>
                  <w:marTop w:val="0"/>
                  <w:marBottom w:val="0"/>
                  <w:divBdr>
                    <w:top w:val="none" w:sz="0" w:space="0" w:color="auto"/>
                    <w:left w:val="none" w:sz="0" w:space="0" w:color="auto"/>
                    <w:bottom w:val="none" w:sz="0" w:space="0" w:color="auto"/>
                    <w:right w:val="none" w:sz="0" w:space="0" w:color="auto"/>
                  </w:divBdr>
                  <w:divsChild>
                    <w:div w:id="17669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2015-06-29T05:46:00Z</dcterms:created>
  <dcterms:modified xsi:type="dcterms:W3CDTF">2015-06-29T05:46:00Z</dcterms:modified>
</cp:coreProperties>
</file>