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83930" w:rsidRPr="00083930" w:rsidTr="00083930">
        <w:trPr>
          <w:jc w:val="center"/>
        </w:trPr>
        <w:tc>
          <w:tcPr>
            <w:tcW w:w="9104" w:type="dxa"/>
            <w:hideMark/>
          </w:tcPr>
          <w:tbl>
            <w:tblPr>
              <w:tblW w:w="8789" w:type="dxa"/>
              <w:jc w:val="center"/>
              <w:tblLook w:val="01E0"/>
            </w:tblPr>
            <w:tblGrid>
              <w:gridCol w:w="2931"/>
              <w:gridCol w:w="2931"/>
              <w:gridCol w:w="2927"/>
            </w:tblGrid>
            <w:tr w:rsidR="00083930" w:rsidRPr="00083930">
              <w:trPr>
                <w:trHeight w:val="317"/>
                <w:jc w:val="center"/>
              </w:trPr>
              <w:tc>
                <w:tcPr>
                  <w:tcW w:w="2931" w:type="dxa"/>
                  <w:tcBorders>
                    <w:top w:val="nil"/>
                    <w:left w:val="nil"/>
                    <w:bottom w:val="single" w:sz="4" w:space="0" w:color="660066"/>
                    <w:right w:val="nil"/>
                  </w:tcBorders>
                  <w:vAlign w:val="center"/>
                  <w:hideMark/>
                </w:tcPr>
                <w:p w:rsidR="00083930" w:rsidRPr="00083930" w:rsidRDefault="00083930" w:rsidP="0008393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83930">
                    <w:rPr>
                      <w:rFonts w:ascii="Arial" w:eastAsia="Times New Roman" w:hAnsi="Arial" w:cs="Arial"/>
                      <w:sz w:val="16"/>
                      <w:szCs w:val="16"/>
                      <w:lang w:eastAsia="tr-TR"/>
                    </w:rPr>
                    <w:t>30 Haziran 2015 SALI</w:t>
                  </w:r>
                </w:p>
              </w:tc>
              <w:tc>
                <w:tcPr>
                  <w:tcW w:w="2931" w:type="dxa"/>
                  <w:tcBorders>
                    <w:top w:val="nil"/>
                    <w:left w:val="nil"/>
                    <w:bottom w:val="single" w:sz="4" w:space="0" w:color="660066"/>
                    <w:right w:val="nil"/>
                  </w:tcBorders>
                  <w:vAlign w:val="center"/>
                  <w:hideMark/>
                </w:tcPr>
                <w:p w:rsidR="00083930" w:rsidRPr="00083930" w:rsidRDefault="00083930" w:rsidP="0008393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8393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83930" w:rsidRPr="00083930" w:rsidRDefault="00083930" w:rsidP="00083930">
                  <w:pPr>
                    <w:spacing w:before="100" w:beforeAutospacing="1" w:after="100" w:afterAutospacing="1" w:line="240" w:lineRule="auto"/>
                    <w:jc w:val="right"/>
                    <w:rPr>
                      <w:rFonts w:ascii="Arial" w:eastAsia="Times New Roman" w:hAnsi="Arial" w:cs="Arial"/>
                      <w:sz w:val="16"/>
                      <w:szCs w:val="16"/>
                      <w:lang w:eastAsia="tr-TR"/>
                    </w:rPr>
                  </w:pPr>
                  <w:proofErr w:type="gramStart"/>
                  <w:r w:rsidRPr="00083930">
                    <w:rPr>
                      <w:rFonts w:ascii="Arial" w:eastAsia="Times New Roman" w:hAnsi="Arial" w:cs="Arial"/>
                      <w:sz w:val="16"/>
                      <w:szCs w:val="16"/>
                      <w:lang w:eastAsia="tr-TR"/>
                    </w:rPr>
                    <w:t>Sayı : 29402</w:t>
                  </w:r>
                  <w:proofErr w:type="gramEnd"/>
                </w:p>
              </w:tc>
            </w:tr>
            <w:tr w:rsidR="00083930" w:rsidRPr="00083930">
              <w:trPr>
                <w:trHeight w:val="480"/>
                <w:jc w:val="center"/>
              </w:trPr>
              <w:tc>
                <w:tcPr>
                  <w:tcW w:w="8789" w:type="dxa"/>
                  <w:gridSpan w:val="3"/>
                  <w:vAlign w:val="center"/>
                  <w:hideMark/>
                </w:tcPr>
                <w:p w:rsidR="00083930" w:rsidRPr="00083930" w:rsidRDefault="00083930" w:rsidP="00083930">
                  <w:pPr>
                    <w:spacing w:before="100" w:beforeAutospacing="1" w:after="100" w:afterAutospacing="1" w:line="240" w:lineRule="auto"/>
                    <w:jc w:val="center"/>
                    <w:rPr>
                      <w:rFonts w:ascii="Arial" w:eastAsia="Times New Roman" w:hAnsi="Arial" w:cs="Arial"/>
                      <w:b/>
                      <w:color w:val="000080"/>
                      <w:sz w:val="18"/>
                      <w:szCs w:val="18"/>
                      <w:lang w:eastAsia="tr-TR"/>
                    </w:rPr>
                  </w:pPr>
                  <w:r w:rsidRPr="00083930">
                    <w:rPr>
                      <w:rFonts w:ascii="Arial" w:eastAsia="Times New Roman" w:hAnsi="Arial" w:cs="Arial"/>
                      <w:b/>
                      <w:color w:val="000080"/>
                      <w:sz w:val="18"/>
                      <w:szCs w:val="18"/>
                      <w:lang w:eastAsia="tr-TR"/>
                    </w:rPr>
                    <w:t>YÖNETMELİK</w:t>
                  </w:r>
                </w:p>
              </w:tc>
            </w:tr>
            <w:tr w:rsidR="00083930" w:rsidRPr="00083930">
              <w:trPr>
                <w:trHeight w:val="480"/>
                <w:jc w:val="center"/>
              </w:trPr>
              <w:tc>
                <w:tcPr>
                  <w:tcW w:w="8789" w:type="dxa"/>
                  <w:gridSpan w:val="3"/>
                  <w:vAlign w:val="center"/>
                </w:tcPr>
                <w:p w:rsidR="00083930" w:rsidRPr="00083930" w:rsidRDefault="00083930" w:rsidP="0008393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83930">
                    <w:rPr>
                      <w:rFonts w:ascii="Times New Roman" w:eastAsia="Times New Roman" w:hAnsi="Times New Roman" w:cs="Times New Roman"/>
                      <w:sz w:val="18"/>
                      <w:szCs w:val="18"/>
                      <w:u w:val="single"/>
                      <w:lang w:eastAsia="tr-TR"/>
                    </w:rPr>
                    <w:t>Gümrük ve Ticaret Bakanlığından:</w:t>
                  </w:r>
                </w:p>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lang w:eastAsia="tr-TR"/>
                    </w:rPr>
                  </w:pPr>
                  <w:r w:rsidRPr="00083930">
                    <w:rPr>
                      <w:rFonts w:ascii="Times New Roman" w:eastAsia="Times New Roman" w:hAnsi="Times New Roman" w:cs="Times New Roman"/>
                      <w:b/>
                      <w:sz w:val="18"/>
                      <w:szCs w:val="18"/>
                      <w:lang w:eastAsia="tr-TR"/>
                    </w:rPr>
                    <w:t>GÜMRÜK YÖNETMELİĞİNDE DEĞİŞİKLİK YAPILMASINA</w:t>
                  </w:r>
                </w:p>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lang w:eastAsia="tr-TR"/>
                    </w:rPr>
                  </w:pPr>
                  <w:r w:rsidRPr="00083930">
                    <w:rPr>
                      <w:rFonts w:ascii="Times New Roman" w:eastAsia="Times New Roman" w:hAnsi="Times New Roman" w:cs="Times New Roman"/>
                      <w:b/>
                      <w:sz w:val="18"/>
                      <w:szCs w:val="18"/>
                      <w:lang w:eastAsia="tr-TR"/>
                    </w:rPr>
                    <w:t>DAİR YÖNETMELİK</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 –</w:t>
                  </w:r>
                  <w:r w:rsidRPr="00083930">
                    <w:rPr>
                      <w:rFonts w:ascii="Times New Roman" w:eastAsia="Times New Roman" w:hAnsi="Times New Roman" w:cs="Times New Roman"/>
                      <w:sz w:val="18"/>
                      <w:szCs w:val="18"/>
                      <w:lang w:eastAsia="tr-TR"/>
                    </w:rPr>
                    <w:t xml:space="preserve"> </w:t>
                  </w:r>
                  <w:proofErr w:type="gramStart"/>
                  <w:r w:rsidRPr="00083930">
                    <w:rPr>
                      <w:rFonts w:ascii="Times New Roman" w:eastAsia="Times New Roman" w:hAnsi="Times New Roman" w:cs="Times New Roman"/>
                      <w:sz w:val="18"/>
                      <w:szCs w:val="18"/>
                      <w:lang w:eastAsia="tr-TR"/>
                    </w:rPr>
                    <w:t>7/10/2009</w:t>
                  </w:r>
                  <w:proofErr w:type="gramEnd"/>
                  <w:r w:rsidRPr="00083930">
                    <w:rPr>
                      <w:rFonts w:ascii="Times New Roman" w:eastAsia="Times New Roman" w:hAnsi="Times New Roman" w:cs="Times New Roman"/>
                      <w:sz w:val="18"/>
                      <w:szCs w:val="18"/>
                      <w:lang w:eastAsia="tr-TR"/>
                    </w:rPr>
                    <w:t xml:space="preserve"> tarihli ve 27369 mükerrer sayılı Resmî Gazete’de yayımlanan Gümrük Yönetmeliğinin 23 üncü maddesinin birinci fıkrasının (b), (c), (ç) ve (h) bentleri ile yedinci fıkrasında; 24 üncü maddesinin birinci fıkrasının (a) bendinin (1) ve (2) numaralı alt bentleri ile (b) bendi; ikinci fıkrasının (a) bendinin (1) ve (2) numaralı alt bentleri ile (b) bendi; üçüncü fıkrasının (a) bendinin (1) ve (2) numaralı alt bentleri ile (b) bendinde yer alan “Yetkilendirilmiş gümrük müşaviriyle onaylanmış kişi statüsü başvurusunun ön incelemesi için sözleşme yapıldığı” ibareleri “Başvurunun kayda alındığı” olarak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 xml:space="preserve">MADDE 2 – </w:t>
                  </w:r>
                  <w:r w:rsidRPr="00083930">
                    <w:rPr>
                      <w:rFonts w:ascii="Times New Roman" w:eastAsia="Times New Roman" w:hAnsi="Times New Roman" w:cs="Times New Roman"/>
                      <w:sz w:val="18"/>
                      <w:szCs w:val="18"/>
                      <w:lang w:eastAsia="tr-TR"/>
                    </w:rPr>
                    <w:t>Aynı Yönetmeliğin 78 inci maddesine aşağıdaki fıkra eklenmiştir.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“(5) Türkiye Gümrük Bölgesine havayolu ile getirilen hızlı kargo eşyası dışındaki eşyanın havaalanı dışında bulunan geçici depolama yerlerine alınmasına, Bakanlıkça belirlenecek zorunlu haller dışında izin verilmez.”</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3 –</w:t>
                  </w:r>
                  <w:r w:rsidRPr="00083930">
                    <w:rPr>
                      <w:rFonts w:ascii="Times New Roman" w:eastAsia="Times New Roman" w:hAnsi="Times New Roman" w:cs="Times New Roman"/>
                      <w:sz w:val="18"/>
                      <w:szCs w:val="18"/>
                      <w:lang w:eastAsia="tr-TR"/>
                    </w:rPr>
                    <w:t xml:space="preserve"> Aynı Yönetmeliğin 207 </w:t>
                  </w:r>
                  <w:proofErr w:type="spellStart"/>
                  <w:r w:rsidRPr="00083930">
                    <w:rPr>
                      <w:rFonts w:ascii="Times New Roman" w:eastAsia="Times New Roman" w:hAnsi="Times New Roman" w:cs="Times New Roman"/>
                      <w:sz w:val="18"/>
                      <w:szCs w:val="18"/>
                      <w:lang w:eastAsia="tr-TR"/>
                    </w:rPr>
                    <w:t>nci</w:t>
                  </w:r>
                  <w:proofErr w:type="spellEnd"/>
                  <w:r w:rsidRPr="00083930">
                    <w:rPr>
                      <w:rFonts w:ascii="Times New Roman" w:eastAsia="Times New Roman" w:hAnsi="Times New Roman" w:cs="Times New Roman"/>
                      <w:sz w:val="18"/>
                      <w:szCs w:val="18"/>
                      <w:lang w:eastAsia="tr-TR"/>
                    </w:rPr>
                    <w:t xml:space="preserve"> maddesinin dördüncü fıkrasında yer alan “yetkilendirilmiş gümrük müşavirince düzenlenecek rapora istinaden” ibaresi “gümrük idaresince” olarak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 xml:space="preserve">MADDE 4 – </w:t>
                  </w:r>
                  <w:r w:rsidRPr="00083930">
                    <w:rPr>
                      <w:rFonts w:ascii="Times New Roman" w:eastAsia="Times New Roman" w:hAnsi="Times New Roman" w:cs="Times New Roman"/>
                      <w:sz w:val="18"/>
                      <w:szCs w:val="18"/>
                      <w:lang w:eastAsia="tr-TR"/>
                    </w:rPr>
                    <w:t xml:space="preserve">Aynı Yönetmeliğin 332 </w:t>
                  </w:r>
                  <w:proofErr w:type="spellStart"/>
                  <w:r w:rsidRPr="00083930">
                    <w:rPr>
                      <w:rFonts w:ascii="Times New Roman" w:eastAsia="Times New Roman" w:hAnsi="Times New Roman" w:cs="Times New Roman"/>
                      <w:sz w:val="18"/>
                      <w:szCs w:val="18"/>
                      <w:lang w:eastAsia="tr-TR"/>
                    </w:rPr>
                    <w:t>nci</w:t>
                  </w:r>
                  <w:proofErr w:type="spellEnd"/>
                  <w:r w:rsidRPr="00083930">
                    <w:rPr>
                      <w:rFonts w:ascii="Times New Roman" w:eastAsia="Times New Roman" w:hAnsi="Times New Roman" w:cs="Times New Roman"/>
                      <w:sz w:val="18"/>
                      <w:szCs w:val="18"/>
                      <w:lang w:eastAsia="tr-TR"/>
                    </w:rPr>
                    <w:t xml:space="preserve"> maddesinin ikinci fıkrası, 520 </w:t>
                  </w:r>
                  <w:proofErr w:type="spellStart"/>
                  <w:r w:rsidRPr="00083930">
                    <w:rPr>
                      <w:rFonts w:ascii="Times New Roman" w:eastAsia="Times New Roman" w:hAnsi="Times New Roman" w:cs="Times New Roman"/>
                      <w:sz w:val="18"/>
                      <w:szCs w:val="18"/>
                      <w:lang w:eastAsia="tr-TR"/>
                    </w:rPr>
                    <w:t>nci</w:t>
                  </w:r>
                  <w:proofErr w:type="spellEnd"/>
                  <w:r w:rsidRPr="00083930">
                    <w:rPr>
                      <w:rFonts w:ascii="Times New Roman" w:eastAsia="Times New Roman" w:hAnsi="Times New Roman" w:cs="Times New Roman"/>
                      <w:sz w:val="18"/>
                      <w:szCs w:val="18"/>
                      <w:lang w:eastAsia="tr-TR"/>
                    </w:rPr>
                    <w:t xml:space="preserve"> maddesinin birinci fıkrasının (h) bendi ve 521 inci maddesinin ikinci fıkrasında yer alan “yetkilendirilmiş gümrük müşaviri” ibareleri “gümrük memuru” olarak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5 –</w:t>
                  </w:r>
                  <w:r w:rsidRPr="00083930">
                    <w:rPr>
                      <w:rFonts w:ascii="Times New Roman" w:eastAsia="Times New Roman" w:hAnsi="Times New Roman" w:cs="Times New Roman"/>
                      <w:sz w:val="18"/>
                      <w:szCs w:val="18"/>
                      <w:lang w:eastAsia="tr-TR"/>
                    </w:rPr>
                    <w:t xml:space="preserve"> Aynı Yönetmeliğin 333 üncü maddesinin üçüncü fıkrasının sonuna aşağıdaki ilk cümle, dördüncü fıkrasının sonuna ise aşağıdaki ikinci cümle eklenmiştir.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“Eşyanın beş iş günü içerisinde gümrükçe onaylanmış yeni bir işlem veya kullanıma tabi tutulmaması ya da yeni antrepo beyannamesi verilmemesi halinde bu sürenin aşıldığı tarihten itibaren devralana, aşılan her gün için Kanunun 241 inci maddesinin birinci fıkrası uyarınca işlem yapılır.”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“Belirtilen süre içinde eşyanın antrepodan çıkarılmaması halinde bu sürenin aşıldığı tarihten itibaren antrepo işleticisine ve devralana ayrı </w:t>
                  </w:r>
                  <w:proofErr w:type="spellStart"/>
                  <w:r w:rsidRPr="00083930">
                    <w:rPr>
                      <w:rFonts w:ascii="Times New Roman" w:eastAsia="Times New Roman" w:hAnsi="Times New Roman" w:cs="Times New Roman"/>
                      <w:sz w:val="18"/>
                      <w:szCs w:val="18"/>
                      <w:lang w:eastAsia="tr-TR"/>
                    </w:rPr>
                    <w:t>ayrı</w:t>
                  </w:r>
                  <w:proofErr w:type="spellEnd"/>
                  <w:r w:rsidRPr="00083930">
                    <w:rPr>
                      <w:rFonts w:ascii="Times New Roman" w:eastAsia="Times New Roman" w:hAnsi="Times New Roman" w:cs="Times New Roman"/>
                      <w:sz w:val="18"/>
                      <w:szCs w:val="18"/>
                      <w:lang w:eastAsia="tr-TR"/>
                    </w:rPr>
                    <w:t xml:space="preserve"> olmak üzere, aşılan her gün için Kanunun 241 inci maddesinin birinci fıkrası uyarınca işlem yapılır.”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6 –</w:t>
                  </w:r>
                  <w:r w:rsidRPr="00083930">
                    <w:rPr>
                      <w:rFonts w:ascii="Times New Roman" w:eastAsia="Times New Roman" w:hAnsi="Times New Roman" w:cs="Times New Roman"/>
                      <w:sz w:val="18"/>
                      <w:szCs w:val="18"/>
                      <w:lang w:eastAsia="tr-TR"/>
                    </w:rPr>
                    <w:t xml:space="preserve"> Aynı Yönetmeliğin 513 üncü maddesinin yedinci fıkrasının son cümlesinde yer alan “havayolu ile” ibaresinden sonra gelmek üzere “hızlı” ibaresi eklenmiştir.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7 –</w:t>
                  </w:r>
                  <w:r w:rsidRPr="00083930">
                    <w:rPr>
                      <w:rFonts w:ascii="Times New Roman" w:eastAsia="Times New Roman" w:hAnsi="Times New Roman" w:cs="Times New Roman"/>
                      <w:sz w:val="18"/>
                      <w:szCs w:val="18"/>
                      <w:lang w:eastAsia="tr-TR"/>
                    </w:rPr>
                    <w:t xml:space="preserve"> Aynı Yönetmeliğin 518 inci maddesinin birinci, ikinci ve üçüncü fıkraları aşağıdaki şekilde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“(1) Antrepo açma izni almak üzere başvuracak gerçek ve tüzel kişiler, yatırım yapmadan önce, antreponun açılacağı bölgede bulunan ticaret odası veya ticaret ve sanayi odasına başvurarak bölgenin iç ve dış ticaret hacmine göre ekonomik yönden ihtiyaç olduğunu belirten yazılı görüş alır. Akaryakıt antrepoları hariç olmak üzere, özel antrepolar için ilgili oda görüşü aranmaz.</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 Dilekçe ekinde ilgili oda görüşü, Ticaret Sicili Gazetesi ve imza sirküleri ile birlikte ilgili gümrük ve ticaret bölge müdürlüğüne başvurulur. Bölge müdürlüğü, gümrük gözetimi ve denetimini olumsuz etkileyecek bir durumun olup olmadığı, antrepo açılmasına ekonomik yönden ihtiyaç bulunup bulunmadığı ve yatırım yapılacak yere eşya sevkiyatının gümrük denetimi altında güvenli bir şekilde yapılıp yapılamayacağı hususlarına ilişkin görüşleri ile birlikte talebi Bakanlığa intikal ettirir.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(3) Yatırım izni talepleri, talepte bulunulan yerdeki mevcut antrepo miktar ve hacmi de dikkate alınarak Bakanlıkça </w:t>
                  </w:r>
                  <w:r w:rsidRPr="00083930">
                    <w:rPr>
                      <w:rFonts w:ascii="Times New Roman" w:eastAsia="Times New Roman" w:hAnsi="Times New Roman" w:cs="Times New Roman"/>
                      <w:sz w:val="18"/>
                      <w:szCs w:val="18"/>
                      <w:lang w:eastAsia="tr-TR"/>
                    </w:rPr>
                    <w:lastRenderedPageBreak/>
                    <w:t>sonuçlandırılır.”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8 –</w:t>
                  </w:r>
                  <w:r w:rsidRPr="00083930">
                    <w:rPr>
                      <w:rFonts w:ascii="Times New Roman" w:eastAsia="Times New Roman" w:hAnsi="Times New Roman" w:cs="Times New Roman"/>
                      <w:sz w:val="18"/>
                      <w:szCs w:val="18"/>
                      <w:lang w:eastAsia="tr-TR"/>
                    </w:rPr>
                    <w:t xml:space="preserve"> Aynı Yönetmeliğin 520 </w:t>
                  </w:r>
                  <w:proofErr w:type="spellStart"/>
                  <w:r w:rsidRPr="00083930">
                    <w:rPr>
                      <w:rFonts w:ascii="Times New Roman" w:eastAsia="Times New Roman" w:hAnsi="Times New Roman" w:cs="Times New Roman"/>
                      <w:sz w:val="18"/>
                      <w:szCs w:val="18"/>
                      <w:lang w:eastAsia="tr-TR"/>
                    </w:rPr>
                    <w:t>nci</w:t>
                  </w:r>
                  <w:proofErr w:type="spellEnd"/>
                  <w:r w:rsidRPr="00083930">
                    <w:rPr>
                      <w:rFonts w:ascii="Times New Roman" w:eastAsia="Times New Roman" w:hAnsi="Times New Roman" w:cs="Times New Roman"/>
                      <w:sz w:val="18"/>
                      <w:szCs w:val="18"/>
                      <w:lang w:eastAsia="tr-TR"/>
                    </w:rPr>
                    <w:t xml:space="preserve"> maddesinin birinci ve ikinci fıkralarının ilk cümlelerinin başına “Yatırım izni verilmiş olan” ibaresi eklenmiştir.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 xml:space="preserve">MADDE 9 – </w:t>
                  </w:r>
                  <w:r w:rsidRPr="00083930">
                    <w:rPr>
                      <w:rFonts w:ascii="Times New Roman" w:eastAsia="Times New Roman" w:hAnsi="Times New Roman" w:cs="Times New Roman"/>
                      <w:sz w:val="18"/>
                      <w:szCs w:val="18"/>
                      <w:lang w:eastAsia="tr-TR"/>
                    </w:rPr>
                    <w:t>Aynı Yönetmeliğin 521 inci maddesinin üçüncü fıkrası aşağıdaki şekilde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“(3) Antrepo açılış taleplerine ilişkin müracaatlar, yerinde incelemeler de yaptırılmak suretiyle ilgili antreponun fiziki yapısının bu Yönetmelikte belirtilen vasıf ve şartları haiz olup olmadığı hususu ile birlikte ekonomik gereklilik ve dış ticaret politikaları göz önünde bulundurularak Bakanlıkça sonuçlandırılır.”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10 –</w:t>
                  </w:r>
                  <w:r w:rsidRPr="00083930">
                    <w:rPr>
                      <w:rFonts w:ascii="Times New Roman" w:eastAsia="Times New Roman" w:hAnsi="Times New Roman" w:cs="Times New Roman"/>
                      <w:sz w:val="18"/>
                      <w:szCs w:val="18"/>
                      <w:lang w:eastAsia="tr-TR"/>
                    </w:rPr>
                    <w:t xml:space="preserve"> Aynı Yönetmeliğin 523 üncü maddesinin yedinci fıkrası aşağıdaki şekilde değiştirilmiş, dokuzuncu fıkrasında yer alan “sonucundan başmüdürlüğe” ibaresi “bölge müdürlüğünce Bakanlığa” olarak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“(7) Gümrük müdürlüğü tarafından, antreponun mevcut işletmecisinin taahhütlerini tamamen yerine getirip getirmediği incelenir ve görüş de belirtilmek suretiyle talep bölge müdürlüğüne intikal ettirilir. Antrepo devir talepleri, bölge müdürlüğünün görüşü ile birlikte Bakanlığa aktarılır ve Bakanlıkça sonuçlandırılır.”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11 –</w:t>
                  </w:r>
                  <w:r w:rsidRPr="00083930">
                    <w:rPr>
                      <w:rFonts w:ascii="Times New Roman" w:eastAsia="Times New Roman" w:hAnsi="Times New Roman" w:cs="Times New Roman"/>
                      <w:sz w:val="18"/>
                      <w:szCs w:val="18"/>
                      <w:lang w:eastAsia="tr-TR"/>
                    </w:rPr>
                    <w:t xml:space="preserve"> Aynı Yönetmeliğin 524 üncü maddesinin birinci, ikinci ve dördüncü fıkraları aşağıdaki şekilde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930">
                    <w:rPr>
                      <w:rFonts w:ascii="Times New Roman" w:eastAsia="Times New Roman" w:hAnsi="Times New Roman" w:cs="Times New Roman"/>
                      <w:sz w:val="18"/>
                      <w:szCs w:val="18"/>
                      <w:lang w:eastAsia="tr-TR"/>
                    </w:rPr>
                    <w:t xml:space="preserve">“(1) Antrepolarda yapılmak istenilen ve antrepo planında değişiklik yapılmasını gerektiren genişletme, daraltma, tadilat ve antreponun aynı gümrük idaresi denetiminde bulunan başka bir adrese taşınmasına ilişkin talepler ile akaryakıt antrepolarına ilişkin her türlü değişiklik talepleri, antreponun mevcut işletmecisinin taahhütlerini tamamen yerine getirip getirmediğinin incelenmesi neticesine göre gümrük müdürlüğünce görüş belirtilerek bölge müdürlüğüne intikal ettirilir. </w:t>
                  </w:r>
                  <w:proofErr w:type="gramEnd"/>
                  <w:r w:rsidRPr="00083930">
                    <w:rPr>
                      <w:rFonts w:ascii="Times New Roman" w:eastAsia="Times New Roman" w:hAnsi="Times New Roman" w:cs="Times New Roman"/>
                      <w:sz w:val="18"/>
                      <w:szCs w:val="18"/>
                      <w:lang w:eastAsia="tr-TR"/>
                    </w:rPr>
                    <w:t>Söz konusu talepler bölge müdürlüğünün görüşü ile birlikte Bakanlığa aktarılır ve Bakanlıkça sonuçlandırılır.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 Birinci fıkra kapsamı dışında kalan ve antrepo planında değişiklik yapılmasını gerektirmeyen değişiklik talepleri, gümrük müdürlüğünce sonuçlandırılır ve bölge müdürlüğünce Bakanlığa bilgi verilir.”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“(4) Bu madde uyarınca, antrepolarda yapılacak değişikliklerle ilgili olarak gümrük memurunca tespit raporu düzenlenir. Düzenlenen tespit raporları, gümrük müdürlüğünce bölge müdürlüğü aracılığıyla Bakanlığa gönderilir.”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12 –</w:t>
                  </w:r>
                  <w:r w:rsidRPr="00083930">
                    <w:rPr>
                      <w:rFonts w:ascii="Times New Roman" w:eastAsia="Times New Roman" w:hAnsi="Times New Roman" w:cs="Times New Roman"/>
                      <w:sz w:val="18"/>
                      <w:szCs w:val="18"/>
                      <w:lang w:eastAsia="tr-TR"/>
                    </w:rPr>
                    <w:t xml:space="preserve"> Aynı Yönetmeliğin 525 inci maddesinin üçüncü fıkrası aşağıdaki şekilde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“(3) Antrepolarda, gümrük idaresi amirleri veya yetkili kılınacak gümrük personeli tarafından yapılacak denetleme neticesinde </w:t>
                  </w:r>
                  <w:proofErr w:type="spellStart"/>
                  <w:r w:rsidRPr="00083930">
                    <w:rPr>
                      <w:rFonts w:ascii="Times New Roman" w:eastAsia="Times New Roman" w:hAnsi="Times New Roman" w:cs="Times New Roman"/>
                      <w:sz w:val="18"/>
                      <w:szCs w:val="18"/>
                      <w:lang w:eastAsia="tr-TR"/>
                    </w:rPr>
                    <w:t>suistimal</w:t>
                  </w:r>
                  <w:proofErr w:type="spellEnd"/>
                  <w:r w:rsidRPr="00083930">
                    <w:rPr>
                      <w:rFonts w:ascii="Times New Roman" w:eastAsia="Times New Roman" w:hAnsi="Times New Roman" w:cs="Times New Roman"/>
                      <w:sz w:val="18"/>
                      <w:szCs w:val="18"/>
                      <w:lang w:eastAsia="tr-TR"/>
                    </w:rPr>
                    <w:t xml:space="preserve"> ve kaçakçılık </w:t>
                  </w:r>
                  <w:proofErr w:type="gramStart"/>
                  <w:r w:rsidRPr="00083930">
                    <w:rPr>
                      <w:rFonts w:ascii="Times New Roman" w:eastAsia="Times New Roman" w:hAnsi="Times New Roman" w:cs="Times New Roman"/>
                      <w:sz w:val="18"/>
                      <w:szCs w:val="18"/>
                      <w:lang w:eastAsia="tr-TR"/>
                    </w:rPr>
                    <w:t>dahil</w:t>
                  </w:r>
                  <w:proofErr w:type="gramEnd"/>
                  <w:r w:rsidRPr="00083930">
                    <w:rPr>
                      <w:rFonts w:ascii="Times New Roman" w:eastAsia="Times New Roman" w:hAnsi="Times New Roman" w:cs="Times New Roman"/>
                      <w:sz w:val="18"/>
                      <w:szCs w:val="18"/>
                      <w:lang w:eastAsia="tr-TR"/>
                    </w:rPr>
                    <w:t xml:space="preserve"> yolsuzluk hallerinin tespiti üzerine bu durum bölge müdürlüğüne bildirilir. Bölge müdürlüğünce karar verilmesi halinde tedbir olarak antrepoya eşya alınmasına izin verilmez ve duruma ilişkin Bakanlığa bilgi verilir. Yapılacak inceleme sonucunda antrepo açma ve işletme izni Bakanlıkça geri alınabilir.”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13 –</w:t>
                  </w:r>
                  <w:r w:rsidRPr="00083930">
                    <w:rPr>
                      <w:rFonts w:ascii="Times New Roman" w:eastAsia="Times New Roman" w:hAnsi="Times New Roman" w:cs="Times New Roman"/>
                      <w:sz w:val="18"/>
                      <w:szCs w:val="18"/>
                      <w:lang w:eastAsia="tr-TR"/>
                    </w:rPr>
                    <w:t xml:space="preserve"> Aynı Yönetmeliğin 555 inci maddesinin birinci fıkrası aşağıdaki şekilde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“(1) Kapılarında çift kilit bulundurulması zorunlu olmayan geçici depolama yerleriyle antrepoları belirlemeye Bakanlık yetkilidir.”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 xml:space="preserve">MADDE 14 – </w:t>
                  </w:r>
                  <w:r w:rsidRPr="00083930">
                    <w:rPr>
                      <w:rFonts w:ascii="Times New Roman" w:eastAsia="Times New Roman" w:hAnsi="Times New Roman" w:cs="Times New Roman"/>
                      <w:sz w:val="18"/>
                      <w:szCs w:val="18"/>
                      <w:lang w:eastAsia="tr-TR"/>
                    </w:rPr>
                    <w:t>Aynı Yönetmeliğin 559 uncu maddesinin ikinci fıkrası aşağıdaki şekilde değiştirilmiştir.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 Bakanlık, sınırlarını açık olarak belirtmek kaydıyla, bu Yönetmelik çerçevesinde geçici depolama yeri veya antrepo açma ve işletme izni verme ve kapatma yetkisini gümrük ve ticaret bölge müdürlüklerine devredebilir.”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 xml:space="preserve">MADDE 15 – </w:t>
                  </w:r>
                  <w:r w:rsidRPr="00083930">
                    <w:rPr>
                      <w:rFonts w:ascii="Times New Roman" w:eastAsia="Times New Roman" w:hAnsi="Times New Roman" w:cs="Times New Roman"/>
                      <w:sz w:val="18"/>
                      <w:szCs w:val="18"/>
                      <w:lang w:eastAsia="tr-TR"/>
                    </w:rPr>
                    <w:t>Aynı Yönetmeliğin 82 no.lu ekine aşağıdaki satır eklenmiştir.</w:t>
                  </w:r>
                </w:p>
                <w:p w:rsidR="00083930" w:rsidRPr="00083930" w:rsidRDefault="00083930" w:rsidP="00083930">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29125" cy="504825"/>
                        <wp:effectExtent l="19050" t="0" r="9525" b="0"/>
                        <wp:docPr id="1" name="Resim 1" descr="Gümrük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ümrük Ek"/>
                                <pic:cNvPicPr>
                                  <a:picLocks noChangeAspect="1" noChangeArrowheads="1"/>
                                </pic:cNvPicPr>
                              </pic:nvPicPr>
                              <pic:blipFill>
                                <a:blip r:embed="rId4" cstate="print"/>
                                <a:srcRect/>
                                <a:stretch>
                                  <a:fillRect/>
                                </a:stretch>
                              </pic:blipFill>
                              <pic:spPr bwMode="auto">
                                <a:xfrm>
                                  <a:off x="0" y="0"/>
                                  <a:ext cx="4429125" cy="504825"/>
                                </a:xfrm>
                                <a:prstGeom prst="rect">
                                  <a:avLst/>
                                </a:prstGeom>
                                <a:noFill/>
                                <a:ln w="9525">
                                  <a:noFill/>
                                  <a:miter lim="800000"/>
                                  <a:headEnd/>
                                  <a:tailEnd/>
                                </a:ln>
                              </pic:spPr>
                            </pic:pic>
                          </a:graphicData>
                        </a:graphic>
                      </wp:inline>
                    </w:drawing>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 xml:space="preserve">MADDE 16 – </w:t>
                  </w:r>
                  <w:r w:rsidRPr="00083930">
                    <w:rPr>
                      <w:rFonts w:ascii="Times New Roman" w:eastAsia="Times New Roman" w:hAnsi="Times New Roman" w:cs="Times New Roman"/>
                      <w:sz w:val="18"/>
                      <w:szCs w:val="18"/>
                      <w:lang w:eastAsia="tr-TR"/>
                    </w:rPr>
                    <w:t>Aynı Yönetmeliğin;</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a) 181 inci maddesinin beşinci fıkrasının (b) bendinde yer alan “veya yetkilendirilmiş gümrük müşavirine” ibaresi,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b) 181 inci maddesinin beşinci fıkrasının (ç) bendi,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c) 235 inci maddesinin birinci fıkrası ve 536 </w:t>
                  </w:r>
                  <w:proofErr w:type="spellStart"/>
                  <w:r w:rsidRPr="00083930">
                    <w:rPr>
                      <w:rFonts w:ascii="Times New Roman" w:eastAsia="Times New Roman" w:hAnsi="Times New Roman" w:cs="Times New Roman"/>
                      <w:sz w:val="18"/>
                      <w:szCs w:val="18"/>
                      <w:lang w:eastAsia="tr-TR"/>
                    </w:rPr>
                    <w:t>ncı</w:t>
                  </w:r>
                  <w:proofErr w:type="spellEnd"/>
                  <w:r w:rsidRPr="00083930">
                    <w:rPr>
                      <w:rFonts w:ascii="Times New Roman" w:eastAsia="Times New Roman" w:hAnsi="Times New Roman" w:cs="Times New Roman"/>
                      <w:sz w:val="18"/>
                      <w:szCs w:val="18"/>
                      <w:lang w:eastAsia="tr-TR"/>
                    </w:rPr>
                    <w:t xml:space="preserve"> maddesinin birinci fıkrasında yer alan “veya yetkilendirilmiş gümrük müşaviri” ibaresi,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ç) 330 uncu maddesinin birinci fıkrasının (b) bendi ve 335 inci maddesinin beşinci fıkrasında yer alan “yetkilendirilmiş gümrük müşaviri veya” ibaresi,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d) 525 inci maddesinin yedinci fıkrası,</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e) 538 inci maddesinin dördüncü fıkrası,</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f) 540 </w:t>
                  </w:r>
                  <w:proofErr w:type="spellStart"/>
                  <w:r w:rsidRPr="00083930">
                    <w:rPr>
                      <w:rFonts w:ascii="Times New Roman" w:eastAsia="Times New Roman" w:hAnsi="Times New Roman" w:cs="Times New Roman"/>
                      <w:sz w:val="18"/>
                      <w:szCs w:val="18"/>
                      <w:lang w:eastAsia="tr-TR"/>
                    </w:rPr>
                    <w:t>ıncı</w:t>
                  </w:r>
                  <w:proofErr w:type="spellEnd"/>
                  <w:r w:rsidRPr="00083930">
                    <w:rPr>
                      <w:rFonts w:ascii="Times New Roman" w:eastAsia="Times New Roman" w:hAnsi="Times New Roman" w:cs="Times New Roman"/>
                      <w:sz w:val="18"/>
                      <w:szCs w:val="18"/>
                      <w:lang w:eastAsia="tr-TR"/>
                    </w:rPr>
                    <w:t xml:space="preserve"> maddesinin üçüncü fıkrasında yer alan “veya yetkilendirilmiş gümrük müşavirleri” ibaresi,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g) 557 </w:t>
                  </w:r>
                  <w:proofErr w:type="spellStart"/>
                  <w:r w:rsidRPr="00083930">
                    <w:rPr>
                      <w:rFonts w:ascii="Times New Roman" w:eastAsia="Times New Roman" w:hAnsi="Times New Roman" w:cs="Times New Roman"/>
                      <w:sz w:val="18"/>
                      <w:szCs w:val="18"/>
                      <w:lang w:eastAsia="tr-TR"/>
                    </w:rPr>
                    <w:t>nci</w:t>
                  </w:r>
                  <w:proofErr w:type="spellEnd"/>
                  <w:r w:rsidRPr="00083930">
                    <w:rPr>
                      <w:rFonts w:ascii="Times New Roman" w:eastAsia="Times New Roman" w:hAnsi="Times New Roman" w:cs="Times New Roman"/>
                      <w:sz w:val="18"/>
                      <w:szCs w:val="18"/>
                      <w:lang w:eastAsia="tr-TR"/>
                    </w:rPr>
                    <w:t xml:space="preserve"> maddesinin birinci fıkrasında yer alan “yetkilendirilmiş gümrük müşavirleri ile” ibaresi,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h) 574 ila 578 inci maddeleri,</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930">
                    <w:rPr>
                      <w:rFonts w:ascii="Times New Roman" w:eastAsia="Times New Roman" w:hAnsi="Times New Roman" w:cs="Times New Roman"/>
                      <w:sz w:val="18"/>
                      <w:szCs w:val="18"/>
                      <w:lang w:eastAsia="tr-TR"/>
                    </w:rPr>
                    <w:t>yürürlükten</w:t>
                  </w:r>
                  <w:proofErr w:type="gramEnd"/>
                  <w:r w:rsidRPr="00083930">
                    <w:rPr>
                      <w:rFonts w:ascii="Times New Roman" w:eastAsia="Times New Roman" w:hAnsi="Times New Roman" w:cs="Times New Roman"/>
                      <w:sz w:val="18"/>
                      <w:szCs w:val="18"/>
                      <w:lang w:eastAsia="tr-TR"/>
                    </w:rPr>
                    <w:t xml:space="preserve"> kaldırılmıştır.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17 –</w:t>
                  </w:r>
                  <w:r w:rsidRPr="00083930">
                    <w:rPr>
                      <w:rFonts w:ascii="Times New Roman" w:eastAsia="Times New Roman" w:hAnsi="Times New Roman" w:cs="Times New Roman"/>
                      <w:sz w:val="18"/>
                      <w:szCs w:val="18"/>
                      <w:lang w:eastAsia="tr-TR"/>
                    </w:rPr>
                    <w:t xml:space="preserve"> Bu Yönetmeliğin;</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a) 1, 3, 4, 8, 13 ve 16 </w:t>
                  </w:r>
                  <w:proofErr w:type="spellStart"/>
                  <w:r w:rsidRPr="00083930">
                    <w:rPr>
                      <w:rFonts w:ascii="Times New Roman" w:eastAsia="Times New Roman" w:hAnsi="Times New Roman" w:cs="Times New Roman"/>
                      <w:sz w:val="18"/>
                      <w:szCs w:val="18"/>
                      <w:lang w:eastAsia="tr-TR"/>
                    </w:rPr>
                    <w:t>ncı</w:t>
                  </w:r>
                  <w:proofErr w:type="spellEnd"/>
                  <w:r w:rsidRPr="00083930">
                    <w:rPr>
                      <w:rFonts w:ascii="Times New Roman" w:eastAsia="Times New Roman" w:hAnsi="Times New Roman" w:cs="Times New Roman"/>
                      <w:sz w:val="18"/>
                      <w:szCs w:val="18"/>
                      <w:lang w:eastAsia="tr-TR"/>
                    </w:rPr>
                    <w:t xml:space="preserve"> maddeleri yayımı tarihinden 30 gün sonra,</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b) 2 ve 6 </w:t>
                  </w:r>
                  <w:proofErr w:type="spellStart"/>
                  <w:r w:rsidRPr="00083930">
                    <w:rPr>
                      <w:rFonts w:ascii="Times New Roman" w:eastAsia="Times New Roman" w:hAnsi="Times New Roman" w:cs="Times New Roman"/>
                      <w:sz w:val="18"/>
                      <w:szCs w:val="18"/>
                      <w:lang w:eastAsia="tr-TR"/>
                    </w:rPr>
                    <w:t>ncı</w:t>
                  </w:r>
                  <w:proofErr w:type="spellEnd"/>
                  <w:r w:rsidRPr="00083930">
                    <w:rPr>
                      <w:rFonts w:ascii="Times New Roman" w:eastAsia="Times New Roman" w:hAnsi="Times New Roman" w:cs="Times New Roman"/>
                      <w:sz w:val="18"/>
                      <w:szCs w:val="18"/>
                      <w:lang w:eastAsia="tr-TR"/>
                    </w:rPr>
                    <w:t xml:space="preserve"> maddeleri </w:t>
                  </w:r>
                  <w:proofErr w:type="gramStart"/>
                  <w:r w:rsidRPr="00083930">
                    <w:rPr>
                      <w:rFonts w:ascii="Times New Roman" w:eastAsia="Times New Roman" w:hAnsi="Times New Roman" w:cs="Times New Roman"/>
                      <w:sz w:val="18"/>
                      <w:szCs w:val="18"/>
                      <w:lang w:eastAsia="tr-TR"/>
                    </w:rPr>
                    <w:t>1/1/2016</w:t>
                  </w:r>
                  <w:proofErr w:type="gramEnd"/>
                  <w:r w:rsidRPr="00083930">
                    <w:rPr>
                      <w:rFonts w:ascii="Times New Roman" w:eastAsia="Times New Roman" w:hAnsi="Times New Roman" w:cs="Times New Roman"/>
                      <w:sz w:val="18"/>
                      <w:szCs w:val="18"/>
                      <w:lang w:eastAsia="tr-TR"/>
                    </w:rPr>
                    <w:t xml:space="preserve"> tarihinde,</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c) Diğer maddeleri yayımı tarihinde,</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83930">
                    <w:rPr>
                      <w:rFonts w:ascii="Times New Roman" w:eastAsia="Times New Roman" w:hAnsi="Times New Roman" w:cs="Times New Roman"/>
                      <w:sz w:val="18"/>
                      <w:szCs w:val="18"/>
                      <w:lang w:eastAsia="tr-TR"/>
                    </w:rPr>
                    <w:t>yürürlüğe</w:t>
                  </w:r>
                  <w:proofErr w:type="gramEnd"/>
                  <w:r w:rsidRPr="00083930">
                    <w:rPr>
                      <w:rFonts w:ascii="Times New Roman" w:eastAsia="Times New Roman" w:hAnsi="Times New Roman" w:cs="Times New Roman"/>
                      <w:sz w:val="18"/>
                      <w:szCs w:val="18"/>
                      <w:lang w:eastAsia="tr-TR"/>
                    </w:rPr>
                    <w:t xml:space="preserve"> girer.</w:t>
                  </w:r>
                </w:p>
                <w:p w:rsidR="00083930" w:rsidRPr="00083930" w:rsidRDefault="00083930" w:rsidP="00083930">
                  <w:pPr>
                    <w:spacing w:before="100" w:beforeAutospacing="1" w:after="100" w:afterAutospacing="1" w:line="240" w:lineRule="exact"/>
                    <w:rPr>
                      <w:rFonts w:ascii="Times New Roman" w:eastAsia="Times New Roman" w:hAnsi="Times New Roman" w:cs="Times New Roman"/>
                      <w:sz w:val="18"/>
                      <w:szCs w:val="18"/>
                      <w:lang w:eastAsia="tr-TR"/>
                    </w:rPr>
                  </w:pPr>
                  <w:r w:rsidRPr="00083930">
                    <w:rPr>
                      <w:rFonts w:ascii="Times New Roman" w:eastAsia="Times New Roman" w:hAnsi="Times New Roman" w:cs="Times New Roman"/>
                      <w:b/>
                      <w:sz w:val="18"/>
                      <w:szCs w:val="18"/>
                      <w:lang w:eastAsia="tr-TR"/>
                    </w:rPr>
                    <w:t>MADDE 18 –</w:t>
                  </w:r>
                  <w:r w:rsidRPr="00083930">
                    <w:rPr>
                      <w:rFonts w:ascii="Times New Roman" w:eastAsia="Times New Roman" w:hAnsi="Times New Roman" w:cs="Times New Roman"/>
                      <w:sz w:val="18"/>
                      <w:szCs w:val="18"/>
                      <w:lang w:eastAsia="tr-TR"/>
                    </w:rPr>
                    <w:t xml:space="preserve"> Bu Yönetmelik hükümlerini Gümrük ve Ticaret Bakanı yürütür.</w:t>
                  </w:r>
                </w:p>
                <w:p w:rsidR="00083930" w:rsidRPr="00083930" w:rsidRDefault="00083930" w:rsidP="00083930">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083930" w:rsidRPr="00083930">
                    <w:trPr>
                      <w:jc w:val="center"/>
                    </w:trPr>
                    <w:tc>
                      <w:tcPr>
                        <w:tcW w:w="8505" w:type="dxa"/>
                        <w:gridSpan w:val="3"/>
                        <w:tcBorders>
                          <w:top w:val="single" w:sz="4" w:space="0" w:color="auto"/>
                          <w:left w:val="single" w:sz="4" w:space="0" w:color="auto"/>
                          <w:bottom w:val="nil"/>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rPr>
                        </w:pPr>
                        <w:r w:rsidRPr="00083930">
                          <w:rPr>
                            <w:rFonts w:ascii="Times New Roman" w:eastAsia="Times New Roman" w:hAnsi="Times New Roman" w:cs="Times New Roman"/>
                            <w:b/>
                            <w:sz w:val="18"/>
                            <w:szCs w:val="18"/>
                          </w:rPr>
                          <w:t>Yönetmeliğin Yayımlandığı Resmî Gazete'nin</w:t>
                        </w:r>
                      </w:p>
                    </w:tc>
                  </w:tr>
                  <w:tr w:rsidR="00083930" w:rsidRPr="00083930">
                    <w:trPr>
                      <w:jc w:val="center"/>
                    </w:trPr>
                    <w:tc>
                      <w:tcPr>
                        <w:tcW w:w="4265" w:type="dxa"/>
                        <w:gridSpan w:val="2"/>
                        <w:tcBorders>
                          <w:top w:val="nil"/>
                          <w:left w:val="single" w:sz="4" w:space="0" w:color="auto"/>
                          <w:bottom w:val="single" w:sz="4" w:space="0" w:color="auto"/>
                          <w:right w:val="nil"/>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rPr>
                        </w:pPr>
                        <w:r w:rsidRPr="00083930">
                          <w:rPr>
                            <w:rFonts w:ascii="Times New Roman" w:eastAsia="Times New Roman" w:hAnsi="Times New Roman" w:cs="Times New Roman"/>
                            <w:b/>
                            <w:sz w:val="18"/>
                            <w:szCs w:val="18"/>
                          </w:rPr>
                          <w:t>Tarihi</w:t>
                        </w:r>
                      </w:p>
                    </w:tc>
                    <w:tc>
                      <w:tcPr>
                        <w:tcW w:w="4240" w:type="dxa"/>
                        <w:tcBorders>
                          <w:top w:val="nil"/>
                          <w:left w:val="nil"/>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rPr>
                        </w:pPr>
                        <w:r w:rsidRPr="00083930">
                          <w:rPr>
                            <w:rFonts w:ascii="Times New Roman" w:eastAsia="Times New Roman" w:hAnsi="Times New Roman" w:cs="Times New Roman"/>
                            <w:b/>
                            <w:sz w:val="18"/>
                            <w:szCs w:val="18"/>
                          </w:rPr>
                          <w:t>Sayısı</w:t>
                        </w:r>
                      </w:p>
                    </w:tc>
                  </w:tr>
                  <w:tr w:rsidR="00083930" w:rsidRPr="00083930">
                    <w:trPr>
                      <w:jc w:val="center"/>
                    </w:trPr>
                    <w:tc>
                      <w:tcPr>
                        <w:tcW w:w="4265" w:type="dxa"/>
                        <w:gridSpan w:val="2"/>
                        <w:tcBorders>
                          <w:top w:val="single" w:sz="4" w:space="0" w:color="auto"/>
                          <w:left w:val="single" w:sz="4" w:space="0" w:color="auto"/>
                          <w:bottom w:val="single" w:sz="4" w:space="0" w:color="auto"/>
                          <w:right w:val="single" w:sz="4" w:space="0" w:color="auto"/>
                        </w:tcBorders>
                        <w:vAlign w:val="center"/>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proofErr w:type="gramStart"/>
                        <w:r w:rsidRPr="00083930">
                          <w:rPr>
                            <w:rFonts w:ascii="Times New Roman" w:eastAsia="Times New Roman" w:hAnsi="Times New Roman" w:cs="Times New Roman"/>
                            <w:sz w:val="18"/>
                            <w:szCs w:val="18"/>
                            <w:lang w:eastAsia="tr-TR"/>
                          </w:rPr>
                          <w:t>7/10/2009</w:t>
                        </w:r>
                        <w:proofErr w:type="gramEnd"/>
                      </w:p>
                    </w:tc>
                    <w:tc>
                      <w:tcPr>
                        <w:tcW w:w="4240" w:type="dxa"/>
                        <w:tcBorders>
                          <w:top w:val="single" w:sz="4" w:space="0" w:color="auto"/>
                          <w:left w:val="single" w:sz="4" w:space="0" w:color="auto"/>
                          <w:bottom w:val="single" w:sz="4" w:space="0" w:color="auto"/>
                          <w:right w:val="single" w:sz="4" w:space="0" w:color="auto"/>
                        </w:tcBorders>
                        <w:vAlign w:val="center"/>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27369 (Mükerrer)</w:t>
                        </w:r>
                      </w:p>
                    </w:tc>
                  </w:tr>
                  <w:tr w:rsidR="00083930" w:rsidRPr="00083930">
                    <w:trPr>
                      <w:jc w:val="center"/>
                    </w:trPr>
                    <w:tc>
                      <w:tcPr>
                        <w:tcW w:w="8505" w:type="dxa"/>
                        <w:gridSpan w:val="3"/>
                        <w:tcBorders>
                          <w:top w:val="single" w:sz="4" w:space="0" w:color="auto"/>
                          <w:left w:val="single" w:sz="4" w:space="0" w:color="auto"/>
                          <w:bottom w:val="nil"/>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rPr>
                        </w:pPr>
                        <w:r w:rsidRPr="00083930">
                          <w:rPr>
                            <w:rFonts w:ascii="Times New Roman" w:eastAsia="Times New Roman" w:hAnsi="Times New Roman" w:cs="Times New Roman"/>
                            <w:b/>
                            <w:sz w:val="18"/>
                            <w:szCs w:val="18"/>
                          </w:rPr>
                          <w:t>Yönetmelikte Değişiklik Yapan Yönetmeliklerin Yayımlandığı Resmî Gazete'nin</w:t>
                        </w:r>
                      </w:p>
                    </w:tc>
                  </w:tr>
                  <w:tr w:rsidR="00083930" w:rsidRPr="00083930">
                    <w:trPr>
                      <w:jc w:val="center"/>
                    </w:trPr>
                    <w:tc>
                      <w:tcPr>
                        <w:tcW w:w="4265" w:type="dxa"/>
                        <w:gridSpan w:val="2"/>
                        <w:tcBorders>
                          <w:top w:val="nil"/>
                          <w:left w:val="single" w:sz="4" w:space="0" w:color="auto"/>
                          <w:bottom w:val="single" w:sz="4" w:space="0" w:color="auto"/>
                          <w:right w:val="nil"/>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rPr>
                        </w:pPr>
                        <w:r w:rsidRPr="00083930">
                          <w:rPr>
                            <w:rFonts w:ascii="Times New Roman" w:eastAsia="Times New Roman" w:hAnsi="Times New Roman" w:cs="Times New Roman"/>
                            <w:b/>
                            <w:sz w:val="18"/>
                            <w:szCs w:val="18"/>
                          </w:rPr>
                          <w:t>Tarihi</w:t>
                        </w:r>
                      </w:p>
                    </w:tc>
                    <w:tc>
                      <w:tcPr>
                        <w:tcW w:w="4240" w:type="dxa"/>
                        <w:tcBorders>
                          <w:top w:val="nil"/>
                          <w:left w:val="nil"/>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b/>
                            <w:sz w:val="18"/>
                            <w:szCs w:val="18"/>
                          </w:rPr>
                        </w:pPr>
                        <w:r w:rsidRPr="00083930">
                          <w:rPr>
                            <w:rFonts w:ascii="Times New Roman" w:eastAsia="Times New Roman" w:hAnsi="Times New Roman" w:cs="Times New Roman"/>
                            <w:b/>
                            <w:sz w:val="18"/>
                            <w:szCs w:val="18"/>
                          </w:rPr>
                          <w:t>Sayısı</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sz w:val="18"/>
                            <w:szCs w:val="18"/>
                            <w:lang w:eastAsia="tr-TR"/>
                          </w:rPr>
                        </w:pPr>
                        <w:proofErr w:type="gramStart"/>
                        <w:r w:rsidRPr="00083930">
                          <w:rPr>
                            <w:rFonts w:ascii="Times New Roman" w:eastAsia="Times New Roman" w:hAnsi="Times New Roman" w:cs="Times New Roman"/>
                            <w:sz w:val="18"/>
                            <w:szCs w:val="18"/>
                            <w:lang w:eastAsia="tr-TR"/>
                          </w:rPr>
                          <w:t>31/3/2010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27538</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sz w:val="18"/>
                            <w:szCs w:val="18"/>
                            <w:lang w:eastAsia="tr-TR"/>
                          </w:rPr>
                        </w:pPr>
                        <w:proofErr w:type="gramStart"/>
                        <w:r w:rsidRPr="00083930">
                          <w:rPr>
                            <w:rFonts w:ascii="Times New Roman" w:eastAsia="Times New Roman" w:hAnsi="Times New Roman" w:cs="Times New Roman"/>
                            <w:bCs/>
                            <w:sz w:val="18"/>
                            <w:szCs w:val="18"/>
                            <w:lang w:eastAsia="tr-TR"/>
                          </w:rPr>
                          <w:t>2/7/2010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bCs/>
                            <w:sz w:val="18"/>
                            <w:szCs w:val="18"/>
                            <w:lang w:eastAsia="tr-TR"/>
                          </w:rPr>
                          <w:t>27629</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3-</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2/12/2010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27773</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4-</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31/12/2010</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27802</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5-</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26/3/2011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27886</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6-</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30/4/2011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27920</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7-</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23/5/2011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27942</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lastRenderedPageBreak/>
                          <w:t>8-</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16/7/2011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27996</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9-</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2/11/2011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28103</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10-</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28/12/2011</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bCs/>
                            <w:sz w:val="18"/>
                            <w:szCs w:val="18"/>
                            <w:lang w:eastAsia="tr-TR"/>
                          </w:rPr>
                          <w:t>28156</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11-</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ヒラギノ明朝Pro W3" w:hAnsi="Times New Roman" w:cs="Times New Roman"/>
                            <w:sz w:val="18"/>
                            <w:szCs w:val="18"/>
                            <w:lang w:eastAsia="tr-TR"/>
                          </w:rPr>
                          <w:t>31</w:t>
                        </w:r>
                        <w:r w:rsidRPr="00083930">
                          <w:rPr>
                            <w:rFonts w:ascii="Times New Roman" w:eastAsia="Times New Roman" w:hAnsi="Times New Roman" w:cs="Times New Roman"/>
                            <w:sz w:val="18"/>
                            <w:szCs w:val="18"/>
                            <w:lang w:eastAsia="tr-TR"/>
                          </w:rPr>
                          <w:t>/3/2012</w:t>
                        </w:r>
                        <w:proofErr w:type="gramEnd"/>
                        <w:r w:rsidRPr="00083930">
                          <w:rPr>
                            <w:rFonts w:ascii="Times New Roman" w:eastAsia="Times New Roman" w:hAnsi="Times New Roman" w:cs="Times New Roman"/>
                            <w:sz w:val="18"/>
                            <w:szCs w:val="18"/>
                            <w:lang w:eastAsia="tr-TR"/>
                          </w:rPr>
                          <w:t xml:space="preserve"> </w:t>
                        </w:r>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sz w:val="18"/>
                            <w:szCs w:val="18"/>
                            <w:lang w:eastAsia="tr-TR"/>
                          </w:rPr>
                          <w:t>28250</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12-</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12/6/2012</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bCs/>
                            <w:sz w:val="18"/>
                            <w:szCs w:val="18"/>
                            <w:lang w:eastAsia="tr-TR"/>
                          </w:rPr>
                        </w:pPr>
                        <w:r w:rsidRPr="00083930">
                          <w:rPr>
                            <w:rFonts w:ascii="Times New Roman" w:eastAsia="Times New Roman" w:hAnsi="Times New Roman" w:cs="Times New Roman"/>
                            <w:sz w:val="18"/>
                            <w:szCs w:val="18"/>
                            <w:lang w:eastAsia="tr-TR"/>
                          </w:rPr>
                          <w:t>28321</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13-</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20/11/2012</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28473</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14-</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10/1/2013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28524</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15-</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7/2/2013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28552</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16-</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5/4/2013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28609</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17-</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15/5/2013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28648</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18-</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12/6/2013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28675</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19-</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3/8/2013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28727</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20-</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21/11/2013</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28828 (Mükerrer)</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21-</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21/5/2014</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 xml:space="preserve">29006 </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22-</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2/12/2014</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29193</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23-</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31/1/2015</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29253</w:t>
                        </w:r>
                      </w:p>
                    </w:tc>
                  </w:tr>
                  <w:tr w:rsidR="00083930" w:rsidRPr="00083930">
                    <w:trPr>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240" w:lineRule="exac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24-</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18/2/2015</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29271</w:t>
                        </w:r>
                      </w:p>
                    </w:tc>
                  </w:tr>
                  <w:tr w:rsidR="00083930" w:rsidRPr="00083930">
                    <w:trPr>
                      <w:trHeight w:val="64"/>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64" w:lineRule="atLeas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25-</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line="64" w:lineRule="atLeast"/>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13/3/2015</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line="64" w:lineRule="atLeast"/>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29294</w:t>
                        </w:r>
                      </w:p>
                    </w:tc>
                  </w:tr>
                  <w:tr w:rsidR="00083930" w:rsidRPr="00083930">
                    <w:trPr>
                      <w:trHeight w:val="64"/>
                      <w:jc w:val="center"/>
                    </w:trPr>
                    <w:tc>
                      <w:tcPr>
                        <w:tcW w:w="456"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tabs>
                            <w:tab w:val="left" w:pos="566"/>
                          </w:tabs>
                          <w:spacing w:after="0" w:line="64" w:lineRule="atLeast"/>
                          <w:jc w:val="center"/>
                          <w:rPr>
                            <w:rFonts w:ascii="Times New Roman" w:eastAsia="Times New Roman" w:hAnsi="Times New Roman" w:cs="Times New Roman"/>
                            <w:sz w:val="18"/>
                            <w:szCs w:val="18"/>
                          </w:rPr>
                        </w:pPr>
                        <w:r w:rsidRPr="00083930">
                          <w:rPr>
                            <w:rFonts w:ascii="Times New Roman" w:eastAsia="Times New Roman" w:hAnsi="Times New Roman" w:cs="Times New Roman"/>
                            <w:sz w:val="18"/>
                            <w:szCs w:val="18"/>
                          </w:rPr>
                          <w:t>26-</w:t>
                        </w:r>
                      </w:p>
                    </w:tc>
                    <w:tc>
                      <w:tcPr>
                        <w:tcW w:w="3809"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line="64" w:lineRule="atLeast"/>
                          <w:ind w:right="467"/>
                          <w:jc w:val="center"/>
                          <w:rPr>
                            <w:rFonts w:ascii="Times New Roman" w:eastAsia="Times New Roman" w:hAnsi="Times New Roman" w:cs="Times New Roman"/>
                            <w:bCs/>
                            <w:sz w:val="18"/>
                            <w:szCs w:val="18"/>
                            <w:lang w:eastAsia="tr-TR"/>
                          </w:rPr>
                        </w:pPr>
                        <w:proofErr w:type="gramStart"/>
                        <w:r w:rsidRPr="00083930">
                          <w:rPr>
                            <w:rFonts w:ascii="Times New Roman" w:eastAsia="Times New Roman" w:hAnsi="Times New Roman" w:cs="Times New Roman"/>
                            <w:bCs/>
                            <w:sz w:val="18"/>
                            <w:szCs w:val="18"/>
                            <w:lang w:eastAsia="tr-TR"/>
                          </w:rPr>
                          <w:t>13/5/2015</w:t>
                        </w:r>
                        <w:proofErr w:type="gramEnd"/>
                      </w:p>
                    </w:tc>
                    <w:tc>
                      <w:tcPr>
                        <w:tcW w:w="4240" w:type="dxa"/>
                        <w:tcBorders>
                          <w:top w:val="single" w:sz="4" w:space="0" w:color="auto"/>
                          <w:left w:val="single" w:sz="4" w:space="0" w:color="auto"/>
                          <w:bottom w:val="single" w:sz="4" w:space="0" w:color="auto"/>
                          <w:right w:val="single" w:sz="4" w:space="0" w:color="auto"/>
                        </w:tcBorders>
                        <w:hideMark/>
                      </w:tcPr>
                      <w:p w:rsidR="00083930" w:rsidRPr="00083930" w:rsidRDefault="00083930" w:rsidP="00083930">
                        <w:pPr>
                          <w:spacing w:after="0" w:line="64" w:lineRule="atLeast"/>
                          <w:jc w:val="center"/>
                          <w:rPr>
                            <w:rFonts w:ascii="Times New Roman" w:eastAsia="Times New Roman" w:hAnsi="Times New Roman" w:cs="Times New Roman"/>
                            <w:sz w:val="18"/>
                            <w:szCs w:val="18"/>
                            <w:lang w:eastAsia="tr-TR"/>
                          </w:rPr>
                        </w:pPr>
                        <w:r w:rsidRPr="00083930">
                          <w:rPr>
                            <w:rFonts w:ascii="Times New Roman" w:eastAsia="Times New Roman" w:hAnsi="Times New Roman" w:cs="Times New Roman"/>
                            <w:sz w:val="18"/>
                            <w:szCs w:val="18"/>
                            <w:lang w:eastAsia="tr-TR"/>
                          </w:rPr>
                          <w:t>29354</w:t>
                        </w:r>
                      </w:p>
                    </w:tc>
                  </w:tr>
                </w:tbl>
                <w:p w:rsidR="00083930" w:rsidRPr="00083930" w:rsidRDefault="00083930" w:rsidP="00083930">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83930" w:rsidRPr="00083930" w:rsidRDefault="00083930" w:rsidP="0008393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83930" w:rsidRPr="00083930" w:rsidRDefault="00083930" w:rsidP="00083930">
            <w:pPr>
              <w:spacing w:after="0" w:line="240" w:lineRule="auto"/>
              <w:jc w:val="center"/>
              <w:rPr>
                <w:rFonts w:ascii="Times New Roman" w:eastAsia="Times New Roman" w:hAnsi="Times New Roman" w:cs="Times New Roman"/>
                <w:sz w:val="20"/>
                <w:szCs w:val="20"/>
                <w:lang w:eastAsia="tr-TR"/>
              </w:rPr>
            </w:pPr>
          </w:p>
        </w:tc>
      </w:tr>
    </w:tbl>
    <w:p w:rsidR="00083930" w:rsidRPr="00083930" w:rsidRDefault="00083930" w:rsidP="00083930">
      <w:pPr>
        <w:spacing w:after="0" w:line="240" w:lineRule="auto"/>
        <w:jc w:val="center"/>
        <w:rPr>
          <w:rFonts w:ascii="Times New Roman" w:eastAsia="Times New Roman" w:hAnsi="Times New Roman" w:cs="Times New Roman"/>
          <w:sz w:val="24"/>
          <w:szCs w:val="24"/>
          <w:lang w:eastAsia="tr-TR"/>
        </w:rPr>
      </w:pPr>
    </w:p>
    <w:p w:rsidR="00E5641C" w:rsidRDefault="00E5641C"/>
    <w:sectPr w:rsidR="00E5641C" w:rsidSect="00E564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3930"/>
    <w:rsid w:val="00083930"/>
    <w:rsid w:val="00E564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839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8393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8393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83930"/>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839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839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3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993757">
      <w:bodyDiv w:val="1"/>
      <w:marLeft w:val="0"/>
      <w:marRight w:val="0"/>
      <w:marTop w:val="0"/>
      <w:marBottom w:val="0"/>
      <w:divBdr>
        <w:top w:val="none" w:sz="0" w:space="0" w:color="auto"/>
        <w:left w:val="none" w:sz="0" w:space="0" w:color="auto"/>
        <w:bottom w:val="none" w:sz="0" w:space="0" w:color="auto"/>
        <w:right w:val="none" w:sz="0" w:space="0" w:color="auto"/>
      </w:divBdr>
      <w:divsChild>
        <w:div w:id="2002657923">
          <w:marLeft w:val="0"/>
          <w:marRight w:val="0"/>
          <w:marTop w:val="0"/>
          <w:marBottom w:val="0"/>
          <w:divBdr>
            <w:top w:val="none" w:sz="0" w:space="0" w:color="auto"/>
            <w:left w:val="none" w:sz="0" w:space="0" w:color="auto"/>
            <w:bottom w:val="none" w:sz="0" w:space="0" w:color="auto"/>
            <w:right w:val="none" w:sz="0" w:space="0" w:color="auto"/>
          </w:divBdr>
          <w:divsChild>
            <w:div w:id="371076696">
              <w:marLeft w:val="0"/>
              <w:marRight w:val="0"/>
              <w:marTop w:val="0"/>
              <w:marBottom w:val="0"/>
              <w:divBdr>
                <w:top w:val="none" w:sz="0" w:space="0" w:color="auto"/>
                <w:left w:val="none" w:sz="0" w:space="0" w:color="auto"/>
                <w:bottom w:val="none" w:sz="0" w:space="0" w:color="auto"/>
                <w:right w:val="none" w:sz="0" w:space="0" w:color="auto"/>
              </w:divBdr>
              <w:divsChild>
                <w:div w:id="1099982779">
                  <w:marLeft w:val="0"/>
                  <w:marRight w:val="0"/>
                  <w:marTop w:val="0"/>
                  <w:marBottom w:val="0"/>
                  <w:divBdr>
                    <w:top w:val="none" w:sz="0" w:space="0" w:color="auto"/>
                    <w:left w:val="none" w:sz="0" w:space="0" w:color="auto"/>
                    <w:bottom w:val="none" w:sz="0" w:space="0" w:color="auto"/>
                    <w:right w:val="none" w:sz="0" w:space="0" w:color="auto"/>
                  </w:divBdr>
                  <w:divsChild>
                    <w:div w:id="16724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7473</Characters>
  <Application>Microsoft Office Word</Application>
  <DocSecurity>0</DocSecurity>
  <Lines>62</Lines>
  <Paragraphs>17</Paragraphs>
  <ScaleCrop>false</ScaleCrop>
  <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2015-06-30T05:37:00Z</dcterms:created>
  <dcterms:modified xsi:type="dcterms:W3CDTF">2015-06-30T05:37:00Z</dcterms:modified>
</cp:coreProperties>
</file>