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CellMar>
          <w:left w:w="0" w:type="dxa"/>
          <w:right w:w="0" w:type="dxa"/>
        </w:tblCellMar>
        <w:tblLook w:val="04A0"/>
      </w:tblPr>
      <w:tblGrid>
        <w:gridCol w:w="2931"/>
        <w:gridCol w:w="2931"/>
        <w:gridCol w:w="2927"/>
      </w:tblGrid>
      <w:tr w:rsidR="00ED2D9F" w:rsidRPr="00ED2D9F" w:rsidTr="00ED2D9F">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D2D9F" w:rsidRPr="00ED2D9F" w:rsidRDefault="00ED2D9F" w:rsidP="00ED2D9F">
            <w:pPr>
              <w:spacing w:after="0" w:line="240" w:lineRule="atLeast"/>
              <w:rPr>
                <w:rFonts w:ascii="Times New Roman" w:eastAsia="Times New Roman" w:hAnsi="Times New Roman" w:cs="Times New Roman"/>
                <w:sz w:val="24"/>
                <w:szCs w:val="24"/>
                <w:lang w:eastAsia="tr-TR"/>
              </w:rPr>
            </w:pPr>
            <w:r w:rsidRPr="00ED2D9F">
              <w:rPr>
                <w:rFonts w:ascii="Arial" w:eastAsia="Times New Roman" w:hAnsi="Arial" w:cs="Arial"/>
                <w:sz w:val="16"/>
                <w:szCs w:val="16"/>
                <w:lang w:eastAsia="tr-TR"/>
              </w:rPr>
              <w:t>26 Ağustos 2015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D2D9F" w:rsidRPr="00ED2D9F" w:rsidRDefault="00ED2D9F" w:rsidP="00ED2D9F">
            <w:pPr>
              <w:spacing w:after="0" w:line="240" w:lineRule="atLeast"/>
              <w:jc w:val="center"/>
              <w:rPr>
                <w:rFonts w:ascii="Times New Roman" w:eastAsia="Times New Roman" w:hAnsi="Times New Roman" w:cs="Times New Roman"/>
                <w:sz w:val="24"/>
                <w:szCs w:val="24"/>
                <w:lang w:eastAsia="tr-TR"/>
              </w:rPr>
            </w:pPr>
            <w:r w:rsidRPr="00ED2D9F">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ED2D9F" w:rsidRPr="00ED2D9F" w:rsidRDefault="00ED2D9F" w:rsidP="00ED2D9F">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ED2D9F">
              <w:rPr>
                <w:rFonts w:ascii="Arial" w:eastAsia="Times New Roman" w:hAnsi="Arial" w:cs="Arial"/>
                <w:sz w:val="16"/>
                <w:szCs w:val="16"/>
                <w:lang w:eastAsia="tr-TR"/>
              </w:rPr>
              <w:t>Sayı : 29457</w:t>
            </w:r>
            <w:proofErr w:type="gramEnd"/>
          </w:p>
        </w:tc>
      </w:tr>
      <w:tr w:rsidR="00ED2D9F" w:rsidRPr="00ED2D9F" w:rsidTr="00ED2D9F">
        <w:trPr>
          <w:trHeight w:val="480"/>
        </w:trPr>
        <w:tc>
          <w:tcPr>
            <w:tcW w:w="8789" w:type="dxa"/>
            <w:gridSpan w:val="3"/>
            <w:tcMar>
              <w:top w:w="0" w:type="dxa"/>
              <w:left w:w="108" w:type="dxa"/>
              <w:bottom w:w="0" w:type="dxa"/>
              <w:right w:w="108" w:type="dxa"/>
            </w:tcMar>
            <w:vAlign w:val="center"/>
            <w:hideMark/>
          </w:tcPr>
          <w:p w:rsidR="00ED2D9F" w:rsidRPr="00ED2D9F" w:rsidRDefault="00ED2D9F" w:rsidP="00ED2D9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D2D9F">
              <w:rPr>
                <w:rFonts w:ascii="Arial" w:eastAsia="Times New Roman" w:hAnsi="Arial" w:cs="Arial"/>
                <w:b/>
                <w:bCs/>
                <w:color w:val="000080"/>
                <w:sz w:val="18"/>
                <w:szCs w:val="18"/>
                <w:lang w:eastAsia="tr-TR"/>
              </w:rPr>
              <w:t>TEBLİĞ</w:t>
            </w:r>
          </w:p>
        </w:tc>
      </w:tr>
      <w:tr w:rsidR="00ED2D9F" w:rsidRPr="00ED2D9F" w:rsidTr="00ED2D9F">
        <w:trPr>
          <w:trHeight w:val="480"/>
        </w:trPr>
        <w:tc>
          <w:tcPr>
            <w:tcW w:w="8789" w:type="dxa"/>
            <w:gridSpan w:val="3"/>
            <w:tcMar>
              <w:top w:w="0" w:type="dxa"/>
              <w:left w:w="108" w:type="dxa"/>
              <w:bottom w:w="0" w:type="dxa"/>
              <w:right w:w="108" w:type="dxa"/>
            </w:tcMar>
            <w:vAlign w:val="center"/>
            <w:hideMark/>
          </w:tcPr>
          <w:p w:rsidR="00ED2D9F" w:rsidRDefault="00ED2D9F" w:rsidP="00ED2D9F">
            <w:pPr>
              <w:spacing w:after="0" w:line="240" w:lineRule="atLeast"/>
              <w:ind w:firstLine="566"/>
              <w:jc w:val="both"/>
              <w:rPr>
                <w:rFonts w:ascii="Times New Roman" w:eastAsia="Times New Roman" w:hAnsi="Times New Roman" w:cs="Times New Roman"/>
                <w:sz w:val="24"/>
                <w:szCs w:val="18"/>
                <w:u w:val="single"/>
                <w:lang w:eastAsia="tr-TR"/>
              </w:rPr>
            </w:pPr>
            <w:r w:rsidRPr="00ED2D9F">
              <w:rPr>
                <w:rFonts w:ascii="Times New Roman" w:eastAsia="Times New Roman" w:hAnsi="Times New Roman" w:cs="Times New Roman"/>
                <w:sz w:val="24"/>
                <w:szCs w:val="18"/>
                <w:u w:val="single"/>
                <w:lang w:eastAsia="tr-TR"/>
              </w:rPr>
              <w:t>Maliye Bakanlığı ile Çevre ve Şehircilik Bakanlığından:</w:t>
            </w:r>
          </w:p>
          <w:p w:rsidR="00ED2D9F" w:rsidRPr="00ED2D9F" w:rsidRDefault="00ED2D9F" w:rsidP="00ED2D9F">
            <w:pPr>
              <w:spacing w:after="0" w:line="240" w:lineRule="atLeast"/>
              <w:ind w:firstLine="566"/>
              <w:jc w:val="both"/>
              <w:rPr>
                <w:rFonts w:ascii="Times New Roman" w:eastAsia="Times New Roman" w:hAnsi="Times New Roman" w:cs="Times New Roman"/>
                <w:u w:val="single"/>
                <w:lang w:eastAsia="tr-TR"/>
              </w:rPr>
            </w:pPr>
          </w:p>
          <w:p w:rsidR="00ED2D9F" w:rsidRPr="00ED2D9F" w:rsidRDefault="00ED2D9F" w:rsidP="00ED2D9F">
            <w:pPr>
              <w:spacing w:after="0" w:line="240" w:lineRule="atLeast"/>
              <w:jc w:val="center"/>
              <w:rPr>
                <w:rFonts w:ascii="Times New Roman" w:eastAsia="Times New Roman" w:hAnsi="Times New Roman" w:cs="Times New Roman"/>
                <w:b/>
                <w:bCs/>
                <w:sz w:val="28"/>
                <w:szCs w:val="19"/>
                <w:lang w:eastAsia="tr-TR"/>
              </w:rPr>
            </w:pPr>
            <w:r w:rsidRPr="00ED2D9F">
              <w:rPr>
                <w:rFonts w:ascii="Times New Roman" w:eastAsia="Times New Roman" w:hAnsi="Times New Roman" w:cs="Times New Roman"/>
                <w:b/>
                <w:bCs/>
                <w:sz w:val="28"/>
                <w:szCs w:val="18"/>
                <w:lang w:eastAsia="tr-TR"/>
              </w:rPr>
              <w:t>EMLAK VERGİSİ KANUNU GENEL TEBLİĞİ</w:t>
            </w:r>
          </w:p>
          <w:p w:rsidR="00ED2D9F" w:rsidRPr="00ED2D9F" w:rsidRDefault="00ED2D9F" w:rsidP="00ED2D9F">
            <w:pPr>
              <w:spacing w:after="0" w:line="240" w:lineRule="atLeast"/>
              <w:jc w:val="center"/>
              <w:rPr>
                <w:rFonts w:ascii="Times New Roman" w:eastAsia="Times New Roman" w:hAnsi="Times New Roman" w:cs="Times New Roman"/>
                <w:b/>
                <w:bCs/>
                <w:sz w:val="28"/>
                <w:szCs w:val="19"/>
                <w:lang w:eastAsia="tr-TR"/>
              </w:rPr>
            </w:pPr>
            <w:r w:rsidRPr="00ED2D9F">
              <w:rPr>
                <w:rFonts w:ascii="Times New Roman" w:eastAsia="Times New Roman" w:hAnsi="Times New Roman" w:cs="Times New Roman"/>
                <w:b/>
                <w:bCs/>
                <w:sz w:val="28"/>
                <w:szCs w:val="18"/>
                <w:lang w:eastAsia="tr-TR"/>
              </w:rPr>
              <w:t>(SERİ NO: 66)</w:t>
            </w:r>
          </w:p>
          <w:p w:rsidR="00ED2D9F" w:rsidRPr="00ED2D9F" w:rsidRDefault="00ED2D9F" w:rsidP="00ED2D9F">
            <w:pPr>
              <w:spacing w:after="0" w:line="240" w:lineRule="atLeast"/>
              <w:ind w:firstLine="566"/>
              <w:jc w:val="both"/>
              <w:rPr>
                <w:rFonts w:ascii="Times New Roman" w:eastAsia="Times New Roman" w:hAnsi="Times New Roman" w:cs="Times New Roman"/>
                <w:sz w:val="24"/>
                <w:szCs w:val="19"/>
                <w:lang w:eastAsia="tr-TR"/>
              </w:rPr>
            </w:pPr>
            <w:proofErr w:type="gramStart"/>
            <w:r w:rsidRPr="00ED2D9F">
              <w:rPr>
                <w:rFonts w:ascii="Times New Roman" w:eastAsia="Times New Roman" w:hAnsi="Times New Roman" w:cs="Times New Roman"/>
                <w:sz w:val="24"/>
                <w:szCs w:val="18"/>
                <w:lang w:eastAsia="tr-TR"/>
              </w:rPr>
              <w:t>29/7/1970</w:t>
            </w:r>
            <w:proofErr w:type="gramEnd"/>
            <w:r w:rsidRPr="00ED2D9F">
              <w:rPr>
                <w:rFonts w:ascii="Times New Roman" w:eastAsia="Times New Roman" w:hAnsi="Times New Roman" w:cs="Times New Roman"/>
                <w:sz w:val="24"/>
                <w:szCs w:val="18"/>
                <w:lang w:eastAsia="tr-TR"/>
              </w:rPr>
              <w:t xml:space="preserve"> tarihli ve 1319 sayılı Emlak Vergisi Kanununun 29 uncu maddesinin birinci fıkrasının (b) bendinde, binalar için vergi değerinin, Maliye ve Bayındırlık ve İskân Bakanlıklarınca müştereken tespit ve ilan edilecek bina metrekare normal inşaat maliyetleri ile aynı maddenin (a) bendinde belirtilen esaslara göre bulunacak arsa veya arsa payı değeri esas alınarak 31 inci madde uyarınca hazırlanmış bulunan 29/2/1972 tarihli ve 7/3995 sayılı Bakanlar Kurulu Kararı ile yürürlüğe konulan Emlak Vergisine Matrah Olacak Vergi Değerlerinin Takdirine İlişkin Tüzük hükümlerinden yararlanmak suretiyle hesaplanan bedel olduğu hükme bağlanmıştır.</w:t>
            </w:r>
          </w:p>
          <w:p w:rsidR="00ED2D9F" w:rsidRPr="00ED2D9F" w:rsidRDefault="00ED2D9F" w:rsidP="00ED2D9F">
            <w:pPr>
              <w:spacing w:after="0" w:line="240" w:lineRule="atLeast"/>
              <w:ind w:firstLine="566"/>
              <w:jc w:val="both"/>
              <w:rPr>
                <w:rFonts w:ascii="Times New Roman" w:eastAsia="Times New Roman" w:hAnsi="Times New Roman" w:cs="Times New Roman"/>
                <w:sz w:val="24"/>
                <w:szCs w:val="19"/>
                <w:lang w:eastAsia="tr-TR"/>
              </w:rPr>
            </w:pPr>
            <w:r w:rsidRPr="00ED2D9F">
              <w:rPr>
                <w:rFonts w:ascii="Times New Roman" w:eastAsia="Times New Roman" w:hAnsi="Times New Roman" w:cs="Times New Roman"/>
                <w:sz w:val="24"/>
                <w:szCs w:val="18"/>
                <w:lang w:eastAsia="tr-TR"/>
              </w:rPr>
              <w:t xml:space="preserve">Öte yandan, </w:t>
            </w:r>
            <w:proofErr w:type="gramStart"/>
            <w:r w:rsidRPr="00ED2D9F">
              <w:rPr>
                <w:rFonts w:ascii="Times New Roman" w:eastAsia="Times New Roman" w:hAnsi="Times New Roman" w:cs="Times New Roman"/>
                <w:sz w:val="24"/>
                <w:szCs w:val="18"/>
                <w:lang w:eastAsia="tr-TR"/>
              </w:rPr>
              <w:t>29/6/2011</w:t>
            </w:r>
            <w:proofErr w:type="gramEnd"/>
            <w:r w:rsidRPr="00ED2D9F">
              <w:rPr>
                <w:rFonts w:ascii="Times New Roman" w:eastAsia="Times New Roman" w:hAnsi="Times New Roman" w:cs="Times New Roman"/>
                <w:sz w:val="24"/>
                <w:szCs w:val="18"/>
                <w:lang w:eastAsia="tr-TR"/>
              </w:rPr>
              <w:t xml:space="preserve"> tarihli ve 644 sayılı Çevre ve Şehircilik Bakanlığının Teşkilat ve Görevleri Hakkında Kanun Hükmünde Kararnamenin 37 </w:t>
            </w:r>
            <w:proofErr w:type="spellStart"/>
            <w:r w:rsidRPr="00ED2D9F">
              <w:rPr>
                <w:rFonts w:ascii="Times New Roman" w:eastAsia="Times New Roman" w:hAnsi="Times New Roman" w:cs="Times New Roman"/>
                <w:sz w:val="24"/>
                <w:szCs w:val="18"/>
                <w:lang w:eastAsia="tr-TR"/>
              </w:rPr>
              <w:t>nci</w:t>
            </w:r>
            <w:proofErr w:type="spellEnd"/>
            <w:r w:rsidRPr="00ED2D9F">
              <w:rPr>
                <w:rFonts w:ascii="Times New Roman" w:eastAsia="Times New Roman" w:hAnsi="Times New Roman" w:cs="Times New Roman"/>
                <w:sz w:val="24"/>
                <w:szCs w:val="18"/>
                <w:lang w:eastAsia="tr-TR"/>
              </w:rPr>
              <w:t xml:space="preserve"> maddesinin birinci fıkrasında, Bayındırlık ve İskân Bakanlığına yapılan atıfların Çevre ve Şehircilik Bakanlığına yapılmış sayılacağı hüküm altına alınmıştır.</w:t>
            </w:r>
          </w:p>
          <w:p w:rsidR="00ED2D9F" w:rsidRPr="00ED2D9F" w:rsidRDefault="00ED2D9F" w:rsidP="00ED2D9F">
            <w:pPr>
              <w:spacing w:after="0" w:line="240" w:lineRule="atLeast"/>
              <w:ind w:firstLine="566"/>
              <w:jc w:val="both"/>
              <w:rPr>
                <w:rFonts w:ascii="Times New Roman" w:eastAsia="Times New Roman" w:hAnsi="Times New Roman" w:cs="Times New Roman"/>
                <w:sz w:val="24"/>
                <w:szCs w:val="19"/>
                <w:lang w:eastAsia="tr-TR"/>
              </w:rPr>
            </w:pPr>
            <w:r w:rsidRPr="00ED2D9F">
              <w:rPr>
                <w:rFonts w:ascii="Times New Roman" w:eastAsia="Times New Roman" w:hAnsi="Times New Roman" w:cs="Times New Roman"/>
                <w:sz w:val="24"/>
                <w:szCs w:val="18"/>
                <w:lang w:eastAsia="tr-TR"/>
              </w:rPr>
              <w:t>Bu itibarla, emlak vergisine esas olmak üzere 2016 yılında uygulanacak bina metrekare normal inşaat maliyet bedelleri, Maliye Bakanlığı ile Çevre ve Şehircilik Bakanlığınca bu Tebliğ ekinde yer alan cetvelde belirtilen tutarlarda tespit edilmiştir.</w:t>
            </w:r>
          </w:p>
          <w:p w:rsidR="00ED2D9F" w:rsidRPr="00ED2D9F" w:rsidRDefault="00ED2D9F" w:rsidP="00ED2D9F">
            <w:pPr>
              <w:spacing w:after="0" w:line="240" w:lineRule="atLeast"/>
              <w:ind w:firstLine="566"/>
              <w:jc w:val="both"/>
              <w:rPr>
                <w:rFonts w:ascii="Times New Roman" w:eastAsia="Times New Roman" w:hAnsi="Times New Roman" w:cs="Times New Roman"/>
                <w:sz w:val="24"/>
                <w:szCs w:val="19"/>
                <w:lang w:eastAsia="tr-TR"/>
              </w:rPr>
            </w:pPr>
            <w:r w:rsidRPr="00ED2D9F">
              <w:rPr>
                <w:rFonts w:ascii="Times New Roman" w:eastAsia="Times New Roman" w:hAnsi="Times New Roman" w:cs="Times New Roman"/>
                <w:sz w:val="24"/>
                <w:szCs w:val="18"/>
                <w:lang w:eastAsia="tr-TR"/>
              </w:rPr>
              <w:t>Tebliğ olunur.</w:t>
            </w:r>
          </w:p>
          <w:p w:rsidR="00ED2D9F" w:rsidRPr="00ED2D9F" w:rsidRDefault="00ED2D9F" w:rsidP="00ED2D9F">
            <w:pPr>
              <w:spacing w:after="0" w:line="240" w:lineRule="atLeast"/>
              <w:jc w:val="center"/>
              <w:rPr>
                <w:rFonts w:ascii="Times New Roman" w:eastAsia="Times New Roman" w:hAnsi="Times New Roman" w:cs="Times New Roman"/>
                <w:sz w:val="19"/>
                <w:szCs w:val="19"/>
                <w:lang w:eastAsia="tr-TR"/>
              </w:rPr>
            </w:pPr>
            <w:r w:rsidRPr="00ED2D9F">
              <w:rPr>
                <w:rFonts w:ascii="Times New Roman" w:eastAsia="Times New Roman" w:hAnsi="Times New Roman" w:cs="Times New Roman"/>
                <w:b/>
                <w:bCs/>
                <w:sz w:val="18"/>
                <w:lang w:eastAsia="tr-TR"/>
              </w:rPr>
              <w:t> </w:t>
            </w:r>
          </w:p>
          <w:p w:rsidR="00ED2D9F" w:rsidRPr="00ED2D9F" w:rsidRDefault="00ED2D9F" w:rsidP="00ED2D9F">
            <w:pPr>
              <w:spacing w:after="0" w:line="240" w:lineRule="atLeast"/>
              <w:jc w:val="center"/>
              <w:rPr>
                <w:rFonts w:ascii="Times New Roman" w:eastAsia="Times New Roman" w:hAnsi="Times New Roman" w:cs="Times New Roman"/>
                <w:sz w:val="19"/>
                <w:szCs w:val="19"/>
                <w:lang w:eastAsia="tr-TR"/>
              </w:rPr>
            </w:pPr>
            <w:r w:rsidRPr="00ED2D9F">
              <w:rPr>
                <w:rFonts w:ascii="Times New Roman" w:eastAsia="Times New Roman" w:hAnsi="Times New Roman" w:cs="Times New Roman"/>
                <w:b/>
                <w:bCs/>
                <w:sz w:val="18"/>
                <w:lang w:eastAsia="tr-TR"/>
              </w:rPr>
              <w:t> </w:t>
            </w:r>
          </w:p>
          <w:p w:rsidR="00ED2D9F" w:rsidRPr="00ED2D9F" w:rsidRDefault="00ED2D9F" w:rsidP="00ED2D9F">
            <w:pPr>
              <w:spacing w:after="0" w:line="240" w:lineRule="atLeast"/>
              <w:rPr>
                <w:rFonts w:ascii="Times New Roman" w:eastAsia="Times New Roman" w:hAnsi="Times New Roman" w:cs="Times New Roman"/>
                <w:sz w:val="19"/>
                <w:szCs w:val="19"/>
                <w:lang w:eastAsia="tr-TR"/>
              </w:rPr>
            </w:pPr>
            <w:hyperlink r:id="rId4" w:history="1">
              <w:r w:rsidRPr="00ED2D9F">
                <w:rPr>
                  <w:rFonts w:ascii="Times New Roman" w:eastAsia="Times New Roman" w:hAnsi="Times New Roman" w:cs="Times New Roman"/>
                  <w:b/>
                  <w:bCs/>
                  <w:color w:val="800080"/>
                  <w:sz w:val="18"/>
                  <w:lang w:eastAsia="tr-TR"/>
                </w:rPr>
                <w:t>Eki için tıklayınız.</w:t>
              </w:r>
            </w:hyperlink>
          </w:p>
        </w:tc>
      </w:tr>
    </w:tbl>
    <w:p w:rsidR="006703B5" w:rsidRDefault="006703B5"/>
    <w:sectPr w:rsidR="006703B5" w:rsidSect="006703B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D2D9F"/>
    <w:rsid w:val="006703B5"/>
    <w:rsid w:val="00ED2D9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3B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D2D9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ED2D9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ED2D9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ED2D9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VarsaylanParagrafYazTipi"/>
    <w:rsid w:val="00ED2D9F"/>
  </w:style>
  <w:style w:type="character" w:styleId="Kpr">
    <w:name w:val="Hyperlink"/>
    <w:basedOn w:val="VarsaylanParagrafYazTipi"/>
    <w:uiPriority w:val="99"/>
    <w:semiHidden/>
    <w:unhideWhenUsed/>
    <w:rsid w:val="00ED2D9F"/>
    <w:rPr>
      <w:color w:val="0000FF"/>
      <w:u w:val="single"/>
    </w:rPr>
  </w:style>
</w:styles>
</file>

<file path=word/webSettings.xml><?xml version="1.0" encoding="utf-8"?>
<w:webSettings xmlns:r="http://schemas.openxmlformats.org/officeDocument/2006/relationships" xmlns:w="http://schemas.openxmlformats.org/wordprocessingml/2006/main">
  <w:divs>
    <w:div w:id="155951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8/20150826-19-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UMT</dc:creator>
  <cp:lastModifiedBy>UMT</cp:lastModifiedBy>
  <cp:revision>1</cp:revision>
  <dcterms:created xsi:type="dcterms:W3CDTF">2015-08-26T20:39:00Z</dcterms:created>
  <dcterms:modified xsi:type="dcterms:W3CDTF">2015-08-26T20:40:00Z</dcterms:modified>
</cp:coreProperties>
</file>