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876DA" w:rsidRPr="005876DA" w:rsidTr="005876DA">
        <w:trPr>
          <w:jc w:val="center"/>
        </w:trPr>
        <w:tc>
          <w:tcPr>
            <w:tcW w:w="9104" w:type="dxa"/>
            <w:hideMark/>
          </w:tcPr>
          <w:tbl>
            <w:tblPr>
              <w:tblW w:w="8789" w:type="dxa"/>
              <w:jc w:val="center"/>
              <w:tblLook w:val="01E0"/>
            </w:tblPr>
            <w:tblGrid>
              <w:gridCol w:w="2931"/>
              <w:gridCol w:w="2931"/>
              <w:gridCol w:w="2927"/>
            </w:tblGrid>
            <w:tr w:rsidR="005876DA" w:rsidRPr="005876DA">
              <w:trPr>
                <w:trHeight w:val="317"/>
                <w:jc w:val="center"/>
              </w:trPr>
              <w:tc>
                <w:tcPr>
                  <w:tcW w:w="2931" w:type="dxa"/>
                  <w:tcBorders>
                    <w:top w:val="nil"/>
                    <w:left w:val="nil"/>
                    <w:bottom w:val="single" w:sz="4" w:space="0" w:color="660066"/>
                    <w:right w:val="nil"/>
                  </w:tcBorders>
                  <w:vAlign w:val="center"/>
                  <w:hideMark/>
                </w:tcPr>
                <w:p w:rsidR="005876DA" w:rsidRPr="005876DA" w:rsidRDefault="005876DA" w:rsidP="005876D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876DA">
                    <w:rPr>
                      <w:rFonts w:ascii="Arial" w:eastAsia="Times New Roman" w:hAnsi="Arial" w:cs="Arial"/>
                      <w:sz w:val="16"/>
                      <w:szCs w:val="16"/>
                      <w:lang w:eastAsia="tr-TR"/>
                    </w:rPr>
                    <w:t>16 Ekim 2015 CUMA</w:t>
                  </w:r>
                </w:p>
              </w:tc>
              <w:tc>
                <w:tcPr>
                  <w:tcW w:w="2931" w:type="dxa"/>
                  <w:tcBorders>
                    <w:top w:val="nil"/>
                    <w:left w:val="nil"/>
                    <w:bottom w:val="single" w:sz="4" w:space="0" w:color="660066"/>
                    <w:right w:val="nil"/>
                  </w:tcBorders>
                  <w:vAlign w:val="center"/>
                  <w:hideMark/>
                </w:tcPr>
                <w:p w:rsidR="005876DA" w:rsidRPr="005876DA" w:rsidRDefault="005876DA" w:rsidP="005876D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876D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876DA" w:rsidRPr="005876DA" w:rsidRDefault="005876DA" w:rsidP="005876DA">
                  <w:pPr>
                    <w:spacing w:before="100" w:beforeAutospacing="1" w:after="100" w:afterAutospacing="1" w:line="240" w:lineRule="auto"/>
                    <w:jc w:val="right"/>
                    <w:rPr>
                      <w:rFonts w:ascii="Arial" w:eastAsia="Times New Roman" w:hAnsi="Arial" w:cs="Arial"/>
                      <w:sz w:val="16"/>
                      <w:szCs w:val="16"/>
                      <w:lang w:eastAsia="tr-TR"/>
                    </w:rPr>
                  </w:pPr>
                  <w:proofErr w:type="gramStart"/>
                  <w:r w:rsidRPr="005876DA">
                    <w:rPr>
                      <w:rFonts w:ascii="Arial" w:eastAsia="Times New Roman" w:hAnsi="Arial" w:cs="Arial"/>
                      <w:sz w:val="16"/>
                      <w:szCs w:val="16"/>
                      <w:lang w:eastAsia="tr-TR"/>
                    </w:rPr>
                    <w:t>Sayı : 29504</w:t>
                  </w:r>
                  <w:proofErr w:type="gramEnd"/>
                </w:p>
              </w:tc>
            </w:tr>
            <w:tr w:rsidR="005876DA" w:rsidRPr="005876DA">
              <w:trPr>
                <w:trHeight w:val="480"/>
                <w:jc w:val="center"/>
              </w:trPr>
              <w:tc>
                <w:tcPr>
                  <w:tcW w:w="8789" w:type="dxa"/>
                  <w:gridSpan w:val="3"/>
                  <w:vAlign w:val="center"/>
                  <w:hideMark/>
                </w:tcPr>
                <w:p w:rsidR="005876DA" w:rsidRPr="005876DA" w:rsidRDefault="005876DA" w:rsidP="005876DA">
                  <w:pPr>
                    <w:spacing w:before="100" w:beforeAutospacing="1" w:after="100" w:afterAutospacing="1" w:line="240" w:lineRule="auto"/>
                    <w:jc w:val="center"/>
                    <w:rPr>
                      <w:rFonts w:ascii="Arial" w:eastAsia="Times New Roman" w:hAnsi="Arial" w:cs="Arial"/>
                      <w:b/>
                      <w:color w:val="000080"/>
                      <w:sz w:val="18"/>
                      <w:szCs w:val="18"/>
                      <w:lang w:eastAsia="tr-TR"/>
                    </w:rPr>
                  </w:pPr>
                  <w:r w:rsidRPr="005876DA">
                    <w:rPr>
                      <w:rFonts w:ascii="Arial" w:eastAsia="Times New Roman" w:hAnsi="Arial" w:cs="Arial"/>
                      <w:b/>
                      <w:color w:val="000080"/>
                      <w:sz w:val="18"/>
                      <w:szCs w:val="18"/>
                      <w:lang w:eastAsia="tr-TR"/>
                    </w:rPr>
                    <w:t>YÖNETMELİK</w:t>
                  </w:r>
                </w:p>
              </w:tc>
            </w:tr>
            <w:tr w:rsidR="005876DA" w:rsidRPr="005876DA">
              <w:trPr>
                <w:trHeight w:val="480"/>
                <w:jc w:val="center"/>
              </w:trPr>
              <w:tc>
                <w:tcPr>
                  <w:tcW w:w="8789" w:type="dxa"/>
                  <w:gridSpan w:val="3"/>
                  <w:vAlign w:val="center"/>
                </w:tcPr>
                <w:p w:rsidR="005876DA" w:rsidRPr="005876DA" w:rsidRDefault="005876DA" w:rsidP="005876DA">
                  <w:pPr>
                    <w:tabs>
                      <w:tab w:val="left" w:pos="566"/>
                    </w:tabs>
                    <w:spacing w:after="0" w:line="240" w:lineRule="exact"/>
                    <w:jc w:val="both"/>
                    <w:rPr>
                      <w:rFonts w:ascii="Times New Roman" w:eastAsia="Times New Roman" w:hAnsi="Times New Roman" w:cs="Times New Roman"/>
                      <w:sz w:val="18"/>
                      <w:szCs w:val="18"/>
                      <w:u w:val="single"/>
                      <w:lang w:eastAsia="tr-TR"/>
                    </w:rPr>
                  </w:pPr>
                  <w:r w:rsidRPr="005876DA">
                    <w:rPr>
                      <w:rFonts w:ascii="Times New Roman" w:eastAsia="Times New Roman" w:hAnsi="Times New Roman" w:cs="Times New Roman"/>
                      <w:sz w:val="18"/>
                      <w:szCs w:val="18"/>
                      <w:u w:val="single"/>
                      <w:lang w:eastAsia="tr-TR"/>
                    </w:rPr>
                    <w:t xml:space="preserve">Türk Patent Enstitüsünden: </w:t>
                  </w:r>
                </w:p>
                <w:p w:rsidR="005876DA" w:rsidRPr="005876DA" w:rsidRDefault="005876DA" w:rsidP="005876DA">
                  <w:pPr>
                    <w:tabs>
                      <w:tab w:val="left" w:pos="566"/>
                    </w:tabs>
                    <w:spacing w:after="0" w:line="240" w:lineRule="exact"/>
                    <w:jc w:val="center"/>
                    <w:rPr>
                      <w:rFonts w:ascii="Times New Roman" w:eastAsia="Times New Roman" w:hAnsi="Times New Roman" w:cs="Times New Roman"/>
                      <w:b/>
                      <w:sz w:val="18"/>
                      <w:szCs w:val="18"/>
                      <w:lang w:eastAsia="tr-TR"/>
                    </w:rPr>
                  </w:pPr>
                  <w:r w:rsidRPr="005876DA">
                    <w:rPr>
                      <w:rFonts w:ascii="Times New Roman" w:eastAsia="Times New Roman" w:hAnsi="Times New Roman" w:cs="Times New Roman"/>
                      <w:b/>
                      <w:sz w:val="18"/>
                      <w:szCs w:val="18"/>
                      <w:lang w:eastAsia="tr-TR"/>
                    </w:rPr>
                    <w:t>TÜRK PATENT ENSTİTÜSÜ YENİDEN İNCELEME VE</w:t>
                  </w:r>
                </w:p>
                <w:p w:rsidR="005876DA" w:rsidRPr="005876DA" w:rsidRDefault="005876DA" w:rsidP="005876DA">
                  <w:pPr>
                    <w:tabs>
                      <w:tab w:val="left" w:pos="566"/>
                    </w:tabs>
                    <w:spacing w:after="0" w:line="240" w:lineRule="exact"/>
                    <w:jc w:val="center"/>
                    <w:rPr>
                      <w:rFonts w:ascii="Times New Roman" w:eastAsia="Times New Roman" w:hAnsi="Times New Roman" w:cs="Times New Roman"/>
                      <w:b/>
                      <w:sz w:val="18"/>
                      <w:szCs w:val="18"/>
                      <w:lang w:eastAsia="tr-TR"/>
                    </w:rPr>
                  </w:pPr>
                  <w:r w:rsidRPr="005876DA">
                    <w:rPr>
                      <w:rFonts w:ascii="Times New Roman" w:eastAsia="Times New Roman" w:hAnsi="Times New Roman" w:cs="Times New Roman"/>
                      <w:b/>
                      <w:sz w:val="18"/>
                      <w:szCs w:val="18"/>
                      <w:lang w:eastAsia="tr-TR"/>
                    </w:rPr>
                    <w:t>DEĞERLENDİRME KURULU YÖNETMELİĞİ</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b/>
                      <w:sz w:val="18"/>
                      <w:szCs w:val="18"/>
                      <w:lang w:eastAsia="tr-TR"/>
                    </w:rPr>
                  </w:pPr>
                  <w:r w:rsidRPr="005876DA">
                    <w:rPr>
                      <w:rFonts w:ascii="Times New Roman" w:eastAsia="Times New Roman" w:hAnsi="Times New Roman" w:cs="Times New Roman"/>
                      <w:b/>
                      <w:sz w:val="18"/>
                      <w:szCs w:val="18"/>
                      <w:lang w:eastAsia="tr-TR"/>
                    </w:rPr>
                    <w:t>Amaç</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b/>
                      <w:sz w:val="18"/>
                      <w:szCs w:val="18"/>
                      <w:lang w:eastAsia="tr-TR"/>
                    </w:rPr>
                    <w:t>MADDE 1 –</w:t>
                  </w:r>
                  <w:r w:rsidRPr="005876DA">
                    <w:rPr>
                      <w:rFonts w:ascii="Times New Roman" w:eastAsia="Times New Roman" w:hAnsi="Times New Roman" w:cs="Times New Roman"/>
                      <w:sz w:val="18"/>
                      <w:szCs w:val="18"/>
                      <w:lang w:eastAsia="tr-TR"/>
                    </w:rPr>
                    <w:t xml:space="preserve"> (1) Bu Yönetmeliğin amacı, </w:t>
                  </w:r>
                  <w:proofErr w:type="gramStart"/>
                  <w:r w:rsidRPr="005876DA">
                    <w:rPr>
                      <w:rFonts w:ascii="Times New Roman" w:eastAsia="Times New Roman" w:hAnsi="Times New Roman" w:cs="Times New Roman"/>
                      <w:sz w:val="18"/>
                      <w:szCs w:val="18"/>
                      <w:lang w:eastAsia="tr-TR"/>
                    </w:rPr>
                    <w:t>sınai</w:t>
                  </w:r>
                  <w:proofErr w:type="gramEnd"/>
                  <w:r w:rsidRPr="005876DA">
                    <w:rPr>
                      <w:rFonts w:ascii="Times New Roman" w:eastAsia="Times New Roman" w:hAnsi="Times New Roman" w:cs="Times New Roman"/>
                      <w:sz w:val="18"/>
                      <w:szCs w:val="18"/>
                      <w:lang w:eastAsia="tr-TR"/>
                    </w:rPr>
                    <w:t xml:space="preserve"> mülkiyet haklarının tescil işlemleri ile ilgili olarak Türk Patent Enstitüsü tarafından verilmiş kararlara yapılacak itirazları incelemek ve nihai karara bağlamakla görevli Yeniden İnceleme ve Değerlendirme Kurulunun teşkili ile çalışma usul ve esaslarını belirlemektir.</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b/>
                      <w:sz w:val="18"/>
                      <w:szCs w:val="18"/>
                      <w:lang w:eastAsia="tr-TR"/>
                    </w:rPr>
                  </w:pPr>
                  <w:r w:rsidRPr="005876DA">
                    <w:rPr>
                      <w:rFonts w:ascii="Times New Roman" w:eastAsia="Times New Roman" w:hAnsi="Times New Roman" w:cs="Times New Roman"/>
                      <w:b/>
                      <w:sz w:val="18"/>
                      <w:szCs w:val="18"/>
                      <w:lang w:eastAsia="tr-TR"/>
                    </w:rPr>
                    <w:t>Dayanak</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b/>
                      <w:sz w:val="18"/>
                      <w:szCs w:val="18"/>
                      <w:lang w:eastAsia="tr-TR"/>
                    </w:rPr>
                    <w:t xml:space="preserve">MADDE 2 – </w:t>
                  </w:r>
                  <w:r w:rsidRPr="005876DA">
                    <w:rPr>
                      <w:rFonts w:ascii="Times New Roman" w:eastAsia="Times New Roman" w:hAnsi="Times New Roman" w:cs="Times New Roman"/>
                      <w:sz w:val="18"/>
                      <w:szCs w:val="18"/>
                      <w:lang w:eastAsia="tr-TR"/>
                    </w:rPr>
                    <w:t xml:space="preserve">(1) Bu Yönetmelik, </w:t>
                  </w:r>
                  <w:proofErr w:type="gramStart"/>
                  <w:r w:rsidRPr="005876DA">
                    <w:rPr>
                      <w:rFonts w:ascii="Times New Roman" w:eastAsia="Times New Roman" w:hAnsi="Times New Roman" w:cs="Times New Roman"/>
                      <w:sz w:val="18"/>
                      <w:szCs w:val="18"/>
                      <w:lang w:eastAsia="tr-TR"/>
                    </w:rPr>
                    <w:t>19/11/2003</w:t>
                  </w:r>
                  <w:proofErr w:type="gramEnd"/>
                  <w:r w:rsidRPr="005876DA">
                    <w:rPr>
                      <w:rFonts w:ascii="Times New Roman" w:eastAsia="Times New Roman" w:hAnsi="Times New Roman" w:cs="Times New Roman"/>
                      <w:sz w:val="18"/>
                      <w:szCs w:val="18"/>
                      <w:lang w:eastAsia="tr-TR"/>
                    </w:rPr>
                    <w:t xml:space="preserve"> tarihli ve 5000 sayılı Türk Patent Enstitüsü Kuruluş ve Görevleri Hakkında Kanunun 10 uncu maddesine dayanılarak hazırlanmıştır.</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b/>
                      <w:sz w:val="18"/>
                      <w:szCs w:val="18"/>
                      <w:lang w:eastAsia="tr-TR"/>
                    </w:rPr>
                  </w:pPr>
                  <w:r w:rsidRPr="005876DA">
                    <w:rPr>
                      <w:rFonts w:ascii="Times New Roman" w:eastAsia="Times New Roman" w:hAnsi="Times New Roman" w:cs="Times New Roman"/>
                      <w:b/>
                      <w:sz w:val="18"/>
                      <w:szCs w:val="18"/>
                      <w:lang w:eastAsia="tr-TR"/>
                    </w:rPr>
                    <w:t>Tanımlar</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b/>
                      <w:sz w:val="18"/>
                      <w:szCs w:val="18"/>
                      <w:lang w:eastAsia="tr-TR"/>
                    </w:rPr>
                    <w:t>MADDE 3 –</w:t>
                  </w:r>
                  <w:r w:rsidRPr="005876DA">
                    <w:rPr>
                      <w:rFonts w:ascii="Times New Roman" w:eastAsia="Times New Roman" w:hAnsi="Times New Roman" w:cs="Times New Roman"/>
                      <w:sz w:val="18"/>
                      <w:szCs w:val="18"/>
                      <w:lang w:eastAsia="tr-TR"/>
                    </w:rPr>
                    <w:t xml:space="preserve"> (1) Bu Yönetmelikte geçen;</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sz w:val="18"/>
                      <w:szCs w:val="18"/>
                      <w:lang w:eastAsia="tr-TR"/>
                    </w:rPr>
                    <w:t>a) Başkan: Türk Patent Enstitüsü Başkanını,</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sz w:val="18"/>
                      <w:szCs w:val="18"/>
                      <w:lang w:eastAsia="tr-TR"/>
                    </w:rPr>
                    <w:t>b) Başkan Yardımcısı: Türk Patent Enstitüsü Başkan Yardımcısını,</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sz w:val="18"/>
                      <w:szCs w:val="18"/>
                      <w:lang w:eastAsia="tr-TR"/>
                    </w:rPr>
                    <w:t>c) Enstitü: Türk Patent Enstitüsünü,</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sz w:val="18"/>
                      <w:szCs w:val="18"/>
                      <w:lang w:eastAsia="tr-TR"/>
                    </w:rPr>
                    <w:t>ç) Kurul: Yeniden İnceleme ve Değerlendirme Kurulunu,</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sz w:val="18"/>
                      <w:szCs w:val="18"/>
                      <w:lang w:eastAsia="tr-TR"/>
                    </w:rPr>
                    <w:t>d) Kurul Başkanı: Yeniden İnceleme ve Değerlendirme Kurulu Başkanını,</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876DA">
                    <w:rPr>
                      <w:rFonts w:ascii="Times New Roman" w:eastAsia="Times New Roman" w:hAnsi="Times New Roman" w:cs="Times New Roman"/>
                      <w:sz w:val="18"/>
                      <w:szCs w:val="18"/>
                      <w:lang w:eastAsia="tr-TR"/>
                    </w:rPr>
                    <w:t>ifade</w:t>
                  </w:r>
                  <w:proofErr w:type="gramEnd"/>
                  <w:r w:rsidRPr="005876DA">
                    <w:rPr>
                      <w:rFonts w:ascii="Times New Roman" w:eastAsia="Times New Roman" w:hAnsi="Times New Roman" w:cs="Times New Roman"/>
                      <w:sz w:val="18"/>
                      <w:szCs w:val="18"/>
                      <w:lang w:eastAsia="tr-TR"/>
                    </w:rPr>
                    <w:t xml:space="preserve"> eder.</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b/>
                      <w:sz w:val="18"/>
                      <w:szCs w:val="18"/>
                      <w:lang w:eastAsia="tr-TR"/>
                    </w:rPr>
                  </w:pPr>
                  <w:r w:rsidRPr="005876DA">
                    <w:rPr>
                      <w:rFonts w:ascii="Times New Roman" w:eastAsia="Times New Roman" w:hAnsi="Times New Roman" w:cs="Times New Roman"/>
                      <w:b/>
                      <w:sz w:val="18"/>
                      <w:szCs w:val="18"/>
                      <w:lang w:eastAsia="tr-TR"/>
                    </w:rPr>
                    <w:t>İtiraz sahipleri</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b/>
                      <w:sz w:val="18"/>
                      <w:szCs w:val="18"/>
                      <w:lang w:eastAsia="tr-TR"/>
                    </w:rPr>
                    <w:t xml:space="preserve">MADDE 4 – </w:t>
                  </w:r>
                  <w:r w:rsidRPr="005876DA">
                    <w:rPr>
                      <w:rFonts w:ascii="Times New Roman" w:eastAsia="Times New Roman" w:hAnsi="Times New Roman" w:cs="Times New Roman"/>
                      <w:sz w:val="18"/>
                      <w:szCs w:val="18"/>
                      <w:lang w:eastAsia="tr-TR"/>
                    </w:rPr>
                    <w:t>(1) Enstitünün almış olduğu kararlara, başvuru sahipleri ve ilgili üçüncü şahıslar itiraz edebilir ve görüş bildirebilir.</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b/>
                      <w:sz w:val="18"/>
                      <w:szCs w:val="18"/>
                      <w:lang w:eastAsia="tr-TR"/>
                    </w:rPr>
                  </w:pPr>
                  <w:r w:rsidRPr="005876DA">
                    <w:rPr>
                      <w:rFonts w:ascii="Times New Roman" w:eastAsia="Times New Roman" w:hAnsi="Times New Roman" w:cs="Times New Roman"/>
                      <w:b/>
                      <w:sz w:val="18"/>
                      <w:szCs w:val="18"/>
                      <w:lang w:eastAsia="tr-TR"/>
                    </w:rPr>
                    <w:t>Kurulun teşekkülü ve çalışma usulü</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b/>
                      <w:sz w:val="18"/>
                      <w:szCs w:val="18"/>
                      <w:lang w:eastAsia="tr-TR"/>
                    </w:rPr>
                    <w:t xml:space="preserve">MADDE 5 – </w:t>
                  </w:r>
                  <w:r w:rsidRPr="005876DA">
                    <w:rPr>
                      <w:rFonts w:ascii="Times New Roman" w:eastAsia="Times New Roman" w:hAnsi="Times New Roman" w:cs="Times New Roman"/>
                      <w:sz w:val="18"/>
                      <w:szCs w:val="18"/>
                      <w:lang w:eastAsia="tr-TR"/>
                    </w:rPr>
                    <w:t>(1) Kurul, Enstitü Başkanı ve itiraza konu kararda görevli bulunmayan en az iki uzman üye olmak üzere en az üç kişiden oluşur.</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sz w:val="18"/>
                      <w:szCs w:val="18"/>
                      <w:lang w:eastAsia="tr-TR"/>
                    </w:rPr>
                    <w:t>(2) Enstitü Başkanı Kurulun da başkanı olup, gerektiğinde yerine başkan yardımcılarından birini veya her ikisini kendilerine bağlı birimlerin kararlarının incelendiği ve değerlendirildiği kurullarda Kurul Başkanı olarak görevlendirebilir.</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sz w:val="18"/>
                      <w:szCs w:val="18"/>
                      <w:lang w:eastAsia="tr-TR"/>
                    </w:rPr>
                    <w:t>(3) Kurulda görev alacak uzman kişiler, Enstitü bünyesinden Kurul Başkanı tarafından liste halinde belirlenir.</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sz w:val="18"/>
                      <w:szCs w:val="18"/>
                      <w:lang w:eastAsia="tr-TR"/>
                    </w:rPr>
                    <w:t>(4) İtirazların üyelere dağıtımı, Kurul Başkanının belirlediği yöntem çerçevesinde itirazın ait olduğu alan ve üyelerin uzmanlık alanı esas alınarak gerçekleştirilir. İtirazı inceleyecek Kurul üyelerinin itiraza konu karara katılmamış olması gerekir.</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b/>
                      <w:sz w:val="18"/>
                      <w:szCs w:val="18"/>
                      <w:lang w:eastAsia="tr-TR"/>
                    </w:rPr>
                  </w:pPr>
                  <w:r w:rsidRPr="005876DA">
                    <w:rPr>
                      <w:rFonts w:ascii="Times New Roman" w:eastAsia="Times New Roman" w:hAnsi="Times New Roman" w:cs="Times New Roman"/>
                      <w:b/>
                      <w:sz w:val="18"/>
                      <w:szCs w:val="18"/>
                      <w:lang w:eastAsia="tr-TR"/>
                    </w:rPr>
                    <w:lastRenderedPageBreak/>
                    <w:t>Karar nisabı</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b/>
                      <w:sz w:val="18"/>
                      <w:szCs w:val="18"/>
                      <w:lang w:eastAsia="tr-TR"/>
                    </w:rPr>
                    <w:t>MADDE 6 –</w:t>
                  </w:r>
                  <w:r w:rsidRPr="005876DA">
                    <w:rPr>
                      <w:rFonts w:ascii="Times New Roman" w:eastAsia="Times New Roman" w:hAnsi="Times New Roman" w:cs="Times New Roman"/>
                      <w:sz w:val="18"/>
                      <w:szCs w:val="18"/>
                      <w:lang w:eastAsia="tr-TR"/>
                    </w:rPr>
                    <w:t xml:space="preserve"> (1) Kurul en az üç üyenin katılımı ile karar alır. Kararlar, Kurul Başkanı ve üyelerin katılımıyla ve salt çoğunluğu ile alınır. Oyların eşit olması halinde Kurul Başkanının oyu iki oy sayılır.</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b/>
                      <w:sz w:val="18"/>
                      <w:szCs w:val="18"/>
                      <w:lang w:eastAsia="tr-TR"/>
                    </w:rPr>
                  </w:pPr>
                  <w:r w:rsidRPr="005876DA">
                    <w:rPr>
                      <w:rFonts w:ascii="Times New Roman" w:eastAsia="Times New Roman" w:hAnsi="Times New Roman" w:cs="Times New Roman"/>
                      <w:b/>
                      <w:sz w:val="18"/>
                      <w:szCs w:val="18"/>
                      <w:lang w:eastAsia="tr-TR"/>
                    </w:rPr>
                    <w:t>Kararlara itiraz</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b/>
                      <w:sz w:val="18"/>
                      <w:szCs w:val="18"/>
                      <w:lang w:eastAsia="tr-TR"/>
                    </w:rPr>
                    <w:t>MADDE 7 –</w:t>
                  </w:r>
                  <w:r w:rsidRPr="005876DA">
                    <w:rPr>
                      <w:rFonts w:ascii="Times New Roman" w:eastAsia="Times New Roman" w:hAnsi="Times New Roman" w:cs="Times New Roman"/>
                      <w:sz w:val="18"/>
                      <w:szCs w:val="18"/>
                      <w:lang w:eastAsia="tr-TR"/>
                    </w:rPr>
                    <w:t xml:space="preserve"> (1) Kurul kararları Enstitünün nihai kararı olup, itiraz edilemez. Ancak, itiraz sahipleri gerekçelerini belirtmek suretiyle maddi hataların düzeltilmesini isteyebilir.</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sz w:val="18"/>
                      <w:szCs w:val="18"/>
                      <w:lang w:eastAsia="tr-TR"/>
                    </w:rPr>
                    <w:t xml:space="preserve">(2) Kurul, itiraza konu maddi hataların düzeltilmesi işlemini </w:t>
                  </w:r>
                  <w:proofErr w:type="spellStart"/>
                  <w:r w:rsidRPr="005876DA">
                    <w:rPr>
                      <w:rFonts w:ascii="Times New Roman" w:eastAsia="Times New Roman" w:hAnsi="Times New Roman" w:cs="Times New Roman"/>
                      <w:sz w:val="18"/>
                      <w:szCs w:val="18"/>
                      <w:lang w:eastAsia="tr-TR"/>
                    </w:rPr>
                    <w:t>onbeş</w:t>
                  </w:r>
                  <w:proofErr w:type="spellEnd"/>
                  <w:r w:rsidRPr="005876DA">
                    <w:rPr>
                      <w:rFonts w:ascii="Times New Roman" w:eastAsia="Times New Roman" w:hAnsi="Times New Roman" w:cs="Times New Roman"/>
                      <w:sz w:val="18"/>
                      <w:szCs w:val="18"/>
                      <w:lang w:eastAsia="tr-TR"/>
                    </w:rPr>
                    <w:t xml:space="preserve"> gün içinde karara bağlar ve sonuç ilgilisine tebliğ edilir.</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sz w:val="18"/>
                      <w:szCs w:val="18"/>
                      <w:lang w:eastAsia="tr-TR"/>
                    </w:rPr>
                    <w:t>(3) Kurul kararlarına karşı, kararın ve varsa maddi hataların düzeltilmesine ilişkin kararın bildirilmesinden itibaren görevli ve yetkili mahkemede dava açılabilir.</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b/>
                      <w:sz w:val="18"/>
                      <w:szCs w:val="18"/>
                      <w:lang w:eastAsia="tr-TR"/>
                    </w:rPr>
                  </w:pPr>
                  <w:r w:rsidRPr="005876DA">
                    <w:rPr>
                      <w:rFonts w:ascii="Times New Roman" w:eastAsia="Times New Roman" w:hAnsi="Times New Roman" w:cs="Times New Roman"/>
                      <w:b/>
                      <w:sz w:val="18"/>
                      <w:szCs w:val="18"/>
                      <w:lang w:eastAsia="tr-TR"/>
                    </w:rPr>
                    <w:t>Kararların saklanması</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b/>
                      <w:sz w:val="18"/>
                      <w:szCs w:val="18"/>
                      <w:lang w:eastAsia="tr-TR"/>
                    </w:rPr>
                    <w:t>MADDE 8 –</w:t>
                  </w:r>
                  <w:r w:rsidRPr="005876DA">
                    <w:rPr>
                      <w:rFonts w:ascii="Times New Roman" w:eastAsia="Times New Roman" w:hAnsi="Times New Roman" w:cs="Times New Roman"/>
                      <w:sz w:val="18"/>
                      <w:szCs w:val="18"/>
                      <w:lang w:eastAsia="tr-TR"/>
                    </w:rPr>
                    <w:t xml:space="preserve"> (1) Kurul kararları, Enstitü veri tabanında elektronik ortamda saklanır.</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b/>
                      <w:sz w:val="18"/>
                      <w:szCs w:val="18"/>
                      <w:lang w:eastAsia="tr-TR"/>
                    </w:rPr>
                  </w:pPr>
                  <w:r w:rsidRPr="005876DA">
                    <w:rPr>
                      <w:rFonts w:ascii="Times New Roman" w:eastAsia="Times New Roman" w:hAnsi="Times New Roman" w:cs="Times New Roman"/>
                      <w:b/>
                      <w:sz w:val="18"/>
                      <w:szCs w:val="18"/>
                      <w:lang w:eastAsia="tr-TR"/>
                    </w:rPr>
                    <w:t>Yürürlükten kaldırılan mevzuat</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b/>
                      <w:sz w:val="18"/>
                      <w:szCs w:val="18"/>
                      <w:lang w:eastAsia="tr-TR"/>
                    </w:rPr>
                    <w:t xml:space="preserve">MADDE 9 – </w:t>
                  </w:r>
                  <w:r w:rsidRPr="005876DA">
                    <w:rPr>
                      <w:rFonts w:ascii="Times New Roman" w:eastAsia="Times New Roman" w:hAnsi="Times New Roman" w:cs="Times New Roman"/>
                      <w:sz w:val="18"/>
                      <w:szCs w:val="18"/>
                      <w:lang w:eastAsia="tr-TR"/>
                    </w:rPr>
                    <w:t xml:space="preserve">(1) </w:t>
                  </w:r>
                  <w:proofErr w:type="gramStart"/>
                  <w:r w:rsidRPr="005876DA">
                    <w:rPr>
                      <w:rFonts w:ascii="Times New Roman" w:eastAsia="Times New Roman" w:hAnsi="Times New Roman" w:cs="Times New Roman"/>
                      <w:sz w:val="18"/>
                      <w:szCs w:val="18"/>
                      <w:lang w:eastAsia="tr-TR"/>
                    </w:rPr>
                    <w:t>6/8/2004</w:t>
                  </w:r>
                  <w:proofErr w:type="gramEnd"/>
                  <w:r w:rsidRPr="005876DA">
                    <w:rPr>
                      <w:rFonts w:ascii="Times New Roman" w:eastAsia="Times New Roman" w:hAnsi="Times New Roman" w:cs="Times New Roman"/>
                      <w:sz w:val="18"/>
                      <w:szCs w:val="18"/>
                      <w:lang w:eastAsia="tr-TR"/>
                    </w:rPr>
                    <w:t xml:space="preserve"> tarihli ve 25545 sayılı Resmî Gazete’de yayımlanan Türk Patent Enstitüsü Yeniden İnceleme ve Değerlendirme Kurulu Yönetmeliği yürürlükten kaldırılmıştır.</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b/>
                      <w:sz w:val="18"/>
                      <w:szCs w:val="18"/>
                      <w:lang w:eastAsia="tr-TR"/>
                    </w:rPr>
                  </w:pPr>
                  <w:r w:rsidRPr="005876DA">
                    <w:rPr>
                      <w:rFonts w:ascii="Times New Roman" w:eastAsia="Times New Roman" w:hAnsi="Times New Roman" w:cs="Times New Roman"/>
                      <w:b/>
                      <w:sz w:val="18"/>
                      <w:szCs w:val="18"/>
                      <w:lang w:eastAsia="tr-TR"/>
                    </w:rPr>
                    <w:t>Yürürlük</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b/>
                      <w:sz w:val="18"/>
                      <w:szCs w:val="18"/>
                      <w:lang w:eastAsia="tr-TR"/>
                    </w:rPr>
                    <w:t>MADDE 10 –</w:t>
                  </w:r>
                  <w:r w:rsidRPr="005876DA">
                    <w:rPr>
                      <w:rFonts w:ascii="Times New Roman" w:eastAsia="Times New Roman" w:hAnsi="Times New Roman" w:cs="Times New Roman"/>
                      <w:sz w:val="18"/>
                      <w:szCs w:val="18"/>
                      <w:lang w:eastAsia="tr-TR"/>
                    </w:rPr>
                    <w:t xml:space="preserve"> (1) Bu Yönetmelik yayımı tarihinde yürürlüğe girer.</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b/>
                      <w:sz w:val="18"/>
                      <w:szCs w:val="18"/>
                      <w:lang w:eastAsia="tr-TR"/>
                    </w:rPr>
                  </w:pPr>
                  <w:r w:rsidRPr="005876DA">
                    <w:rPr>
                      <w:rFonts w:ascii="Times New Roman" w:eastAsia="Times New Roman" w:hAnsi="Times New Roman" w:cs="Times New Roman"/>
                      <w:b/>
                      <w:sz w:val="18"/>
                      <w:szCs w:val="18"/>
                      <w:lang w:eastAsia="tr-TR"/>
                    </w:rPr>
                    <w:t>Yürütme</w:t>
                  </w:r>
                </w:p>
                <w:p w:rsidR="005876DA" w:rsidRPr="005876DA" w:rsidRDefault="005876DA" w:rsidP="005876DA">
                  <w:pPr>
                    <w:spacing w:before="100" w:beforeAutospacing="1" w:after="100" w:afterAutospacing="1" w:line="240" w:lineRule="exact"/>
                    <w:rPr>
                      <w:rFonts w:ascii="Times New Roman" w:eastAsia="Times New Roman" w:hAnsi="Times New Roman" w:cs="Times New Roman"/>
                      <w:sz w:val="18"/>
                      <w:szCs w:val="18"/>
                      <w:lang w:eastAsia="tr-TR"/>
                    </w:rPr>
                  </w:pPr>
                  <w:r w:rsidRPr="005876DA">
                    <w:rPr>
                      <w:rFonts w:ascii="Times New Roman" w:eastAsia="Times New Roman" w:hAnsi="Times New Roman" w:cs="Times New Roman"/>
                      <w:b/>
                      <w:sz w:val="18"/>
                      <w:szCs w:val="18"/>
                      <w:lang w:eastAsia="tr-TR"/>
                    </w:rPr>
                    <w:t>MADDE 11 –</w:t>
                  </w:r>
                  <w:r w:rsidRPr="005876DA">
                    <w:rPr>
                      <w:rFonts w:ascii="Times New Roman" w:eastAsia="Times New Roman" w:hAnsi="Times New Roman" w:cs="Times New Roman"/>
                      <w:sz w:val="18"/>
                      <w:szCs w:val="18"/>
                      <w:lang w:eastAsia="tr-TR"/>
                    </w:rPr>
                    <w:t xml:space="preserve"> (1) Bu Yönetmelik hükümlerini Türk Patent Enstitüsü Başkanı yürütür.</w:t>
                  </w:r>
                </w:p>
                <w:p w:rsidR="005876DA" w:rsidRPr="005876DA" w:rsidRDefault="005876DA" w:rsidP="005876DA">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876DA" w:rsidRPr="005876DA" w:rsidRDefault="005876DA" w:rsidP="005876DA">
            <w:pPr>
              <w:spacing w:after="0" w:line="240" w:lineRule="auto"/>
              <w:jc w:val="center"/>
              <w:rPr>
                <w:rFonts w:ascii="Times New Roman" w:eastAsia="Times New Roman" w:hAnsi="Times New Roman" w:cs="Times New Roman"/>
                <w:sz w:val="20"/>
                <w:szCs w:val="20"/>
                <w:lang w:eastAsia="tr-TR"/>
              </w:rPr>
            </w:pPr>
          </w:p>
        </w:tc>
      </w:tr>
    </w:tbl>
    <w:p w:rsidR="005876DA" w:rsidRPr="005876DA" w:rsidRDefault="005876DA" w:rsidP="005876DA">
      <w:pPr>
        <w:spacing w:after="0" w:line="240" w:lineRule="auto"/>
        <w:jc w:val="center"/>
        <w:rPr>
          <w:rFonts w:ascii="Times New Roman" w:eastAsia="Times New Roman" w:hAnsi="Times New Roman" w:cs="Times New Roman"/>
          <w:sz w:val="24"/>
          <w:szCs w:val="24"/>
          <w:lang w:eastAsia="tr-TR"/>
        </w:rPr>
      </w:pPr>
    </w:p>
    <w:p w:rsidR="00121D07" w:rsidRDefault="00121D07"/>
    <w:sectPr w:rsidR="00121D07" w:rsidSect="00121D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876DA"/>
    <w:rsid w:val="00121D07"/>
    <w:rsid w:val="005876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D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876D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5876DA"/>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5876DA"/>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5876D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99060847">
      <w:bodyDiv w:val="1"/>
      <w:marLeft w:val="0"/>
      <w:marRight w:val="0"/>
      <w:marTop w:val="0"/>
      <w:marBottom w:val="0"/>
      <w:divBdr>
        <w:top w:val="none" w:sz="0" w:space="0" w:color="auto"/>
        <w:left w:val="none" w:sz="0" w:space="0" w:color="auto"/>
        <w:bottom w:val="none" w:sz="0" w:space="0" w:color="auto"/>
        <w:right w:val="none" w:sz="0" w:space="0" w:color="auto"/>
      </w:divBdr>
      <w:divsChild>
        <w:div w:id="1450080183">
          <w:marLeft w:val="0"/>
          <w:marRight w:val="0"/>
          <w:marTop w:val="0"/>
          <w:marBottom w:val="0"/>
          <w:divBdr>
            <w:top w:val="none" w:sz="0" w:space="0" w:color="auto"/>
            <w:left w:val="none" w:sz="0" w:space="0" w:color="auto"/>
            <w:bottom w:val="none" w:sz="0" w:space="0" w:color="auto"/>
            <w:right w:val="none" w:sz="0" w:space="0" w:color="auto"/>
          </w:divBdr>
          <w:divsChild>
            <w:div w:id="1566139414">
              <w:marLeft w:val="0"/>
              <w:marRight w:val="0"/>
              <w:marTop w:val="0"/>
              <w:marBottom w:val="0"/>
              <w:divBdr>
                <w:top w:val="none" w:sz="0" w:space="0" w:color="auto"/>
                <w:left w:val="none" w:sz="0" w:space="0" w:color="auto"/>
                <w:bottom w:val="none" w:sz="0" w:space="0" w:color="auto"/>
                <w:right w:val="none" w:sz="0" w:space="0" w:color="auto"/>
              </w:divBdr>
              <w:divsChild>
                <w:div w:id="639845240">
                  <w:marLeft w:val="0"/>
                  <w:marRight w:val="0"/>
                  <w:marTop w:val="0"/>
                  <w:marBottom w:val="0"/>
                  <w:divBdr>
                    <w:top w:val="none" w:sz="0" w:space="0" w:color="auto"/>
                    <w:left w:val="none" w:sz="0" w:space="0" w:color="auto"/>
                    <w:bottom w:val="none" w:sz="0" w:space="0" w:color="auto"/>
                    <w:right w:val="none" w:sz="0" w:space="0" w:color="auto"/>
                  </w:divBdr>
                  <w:divsChild>
                    <w:div w:id="12817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2015-10-16T05:45:00Z</dcterms:created>
  <dcterms:modified xsi:type="dcterms:W3CDTF">2015-10-16T05:45:00Z</dcterms:modified>
</cp:coreProperties>
</file>