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B4767" w:rsidRPr="001B4767" w:rsidTr="001B4767">
        <w:trPr>
          <w:jc w:val="center"/>
        </w:trPr>
        <w:tc>
          <w:tcPr>
            <w:tcW w:w="9104" w:type="dxa"/>
            <w:hideMark/>
          </w:tcPr>
          <w:tbl>
            <w:tblPr>
              <w:tblW w:w="8789" w:type="dxa"/>
              <w:jc w:val="center"/>
              <w:tblLook w:val="01E0"/>
            </w:tblPr>
            <w:tblGrid>
              <w:gridCol w:w="2931"/>
              <w:gridCol w:w="2931"/>
              <w:gridCol w:w="2927"/>
            </w:tblGrid>
            <w:tr w:rsidR="001B4767" w:rsidRPr="001B4767">
              <w:trPr>
                <w:trHeight w:val="317"/>
                <w:jc w:val="center"/>
              </w:trPr>
              <w:tc>
                <w:tcPr>
                  <w:tcW w:w="2931" w:type="dxa"/>
                  <w:tcBorders>
                    <w:top w:val="nil"/>
                    <w:left w:val="nil"/>
                    <w:bottom w:val="single" w:sz="4" w:space="0" w:color="660066"/>
                    <w:right w:val="nil"/>
                  </w:tcBorders>
                  <w:vAlign w:val="center"/>
                  <w:hideMark/>
                </w:tcPr>
                <w:p w:rsidR="001B4767" w:rsidRPr="001B4767" w:rsidRDefault="001B4767" w:rsidP="001B476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B4767">
                    <w:rPr>
                      <w:rFonts w:ascii="Arial" w:eastAsia="Times New Roman" w:hAnsi="Arial" w:cs="Arial"/>
                      <w:sz w:val="16"/>
                      <w:szCs w:val="16"/>
                      <w:lang w:eastAsia="tr-TR"/>
                    </w:rPr>
                    <w:t>23 Ekim 2015 CUMA</w:t>
                  </w:r>
                </w:p>
              </w:tc>
              <w:tc>
                <w:tcPr>
                  <w:tcW w:w="2931" w:type="dxa"/>
                  <w:tcBorders>
                    <w:top w:val="nil"/>
                    <w:left w:val="nil"/>
                    <w:bottom w:val="single" w:sz="4" w:space="0" w:color="660066"/>
                    <w:right w:val="nil"/>
                  </w:tcBorders>
                  <w:vAlign w:val="center"/>
                  <w:hideMark/>
                </w:tcPr>
                <w:p w:rsidR="001B4767" w:rsidRPr="001B4767" w:rsidRDefault="001B4767" w:rsidP="001B476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B476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B4767" w:rsidRPr="001B4767" w:rsidRDefault="001B4767" w:rsidP="001B4767">
                  <w:pPr>
                    <w:spacing w:before="100" w:beforeAutospacing="1" w:after="100" w:afterAutospacing="1" w:line="240" w:lineRule="auto"/>
                    <w:jc w:val="right"/>
                    <w:rPr>
                      <w:rFonts w:ascii="Arial" w:eastAsia="Times New Roman" w:hAnsi="Arial" w:cs="Arial"/>
                      <w:sz w:val="16"/>
                      <w:szCs w:val="16"/>
                      <w:lang w:eastAsia="tr-TR"/>
                    </w:rPr>
                  </w:pPr>
                  <w:proofErr w:type="gramStart"/>
                  <w:r w:rsidRPr="001B4767">
                    <w:rPr>
                      <w:rFonts w:ascii="Arial" w:eastAsia="Times New Roman" w:hAnsi="Arial" w:cs="Arial"/>
                      <w:sz w:val="16"/>
                      <w:szCs w:val="16"/>
                      <w:lang w:eastAsia="tr-TR"/>
                    </w:rPr>
                    <w:t>Sayı : 29511</w:t>
                  </w:r>
                  <w:proofErr w:type="gramEnd"/>
                </w:p>
              </w:tc>
            </w:tr>
            <w:tr w:rsidR="001B4767" w:rsidRPr="001B4767">
              <w:trPr>
                <w:trHeight w:val="480"/>
                <w:jc w:val="center"/>
              </w:trPr>
              <w:tc>
                <w:tcPr>
                  <w:tcW w:w="8789" w:type="dxa"/>
                  <w:gridSpan w:val="3"/>
                  <w:vAlign w:val="center"/>
                  <w:hideMark/>
                </w:tcPr>
                <w:p w:rsidR="001B4767" w:rsidRPr="001B4767" w:rsidRDefault="001B4767" w:rsidP="001B4767">
                  <w:pPr>
                    <w:spacing w:before="100" w:beforeAutospacing="1" w:after="100" w:afterAutospacing="1" w:line="240" w:lineRule="auto"/>
                    <w:jc w:val="center"/>
                    <w:rPr>
                      <w:rFonts w:ascii="Arial" w:eastAsia="Times New Roman" w:hAnsi="Arial" w:cs="Arial"/>
                      <w:b/>
                      <w:color w:val="000080"/>
                      <w:sz w:val="18"/>
                      <w:szCs w:val="18"/>
                      <w:lang w:eastAsia="tr-TR"/>
                    </w:rPr>
                  </w:pPr>
                  <w:r w:rsidRPr="001B4767">
                    <w:rPr>
                      <w:rFonts w:ascii="Arial" w:eastAsia="Times New Roman" w:hAnsi="Arial" w:cs="Arial"/>
                      <w:b/>
                      <w:color w:val="000080"/>
                      <w:sz w:val="18"/>
                      <w:szCs w:val="18"/>
                      <w:lang w:eastAsia="tr-TR"/>
                    </w:rPr>
                    <w:t>YÖNETMELİK</w:t>
                  </w:r>
                </w:p>
              </w:tc>
            </w:tr>
            <w:tr w:rsidR="001B4767" w:rsidRPr="001B4767">
              <w:trPr>
                <w:trHeight w:val="480"/>
                <w:jc w:val="center"/>
              </w:trPr>
              <w:tc>
                <w:tcPr>
                  <w:tcW w:w="8789" w:type="dxa"/>
                  <w:gridSpan w:val="3"/>
                  <w:vAlign w:val="center"/>
                </w:tcPr>
                <w:p w:rsidR="001B4767" w:rsidRPr="001B4767" w:rsidRDefault="001B4767" w:rsidP="001B4767">
                  <w:pPr>
                    <w:tabs>
                      <w:tab w:val="left" w:pos="566"/>
                    </w:tabs>
                    <w:spacing w:after="0" w:line="240" w:lineRule="exact"/>
                    <w:jc w:val="both"/>
                    <w:rPr>
                      <w:rFonts w:ascii="Times New Roman" w:eastAsia="Times New Roman" w:hAnsi="Times New Roman" w:cs="Times New Roman"/>
                      <w:sz w:val="18"/>
                      <w:szCs w:val="18"/>
                      <w:u w:val="single"/>
                      <w:lang w:eastAsia="tr-TR"/>
                    </w:rPr>
                  </w:pPr>
                  <w:r w:rsidRPr="001B4767">
                    <w:rPr>
                      <w:rFonts w:ascii="Times New Roman" w:eastAsia="Times New Roman" w:hAnsi="Times New Roman" w:cs="Times New Roman"/>
                      <w:sz w:val="18"/>
                      <w:szCs w:val="18"/>
                      <w:u w:val="single"/>
                      <w:lang w:eastAsia="tr-TR"/>
                    </w:rPr>
                    <w:t>Bankacılık Düzenleme ve Denetleme Kurumundan:</w:t>
                  </w:r>
                </w:p>
                <w:p w:rsidR="001B4767" w:rsidRPr="001B4767" w:rsidRDefault="001B4767" w:rsidP="001B4767">
                  <w:pPr>
                    <w:tabs>
                      <w:tab w:val="left" w:pos="566"/>
                    </w:tabs>
                    <w:spacing w:after="0" w:line="240" w:lineRule="exact"/>
                    <w:jc w:val="center"/>
                    <w:rPr>
                      <w:rFonts w:ascii="Times New Roman" w:eastAsia="Times New Roman" w:hAnsi="Times New Roman" w:cs="Times New Roman"/>
                      <w:b/>
                      <w:sz w:val="18"/>
                      <w:szCs w:val="18"/>
                      <w:lang w:eastAsia="tr-TR"/>
                    </w:rPr>
                  </w:pPr>
                  <w:r w:rsidRPr="001B4767">
                    <w:rPr>
                      <w:rFonts w:ascii="Times New Roman" w:eastAsia="Times New Roman" w:hAnsi="Times New Roman" w:cs="Times New Roman"/>
                      <w:b/>
                      <w:sz w:val="18"/>
                      <w:szCs w:val="18"/>
                      <w:lang w:eastAsia="tr-TR"/>
                    </w:rPr>
                    <w:t>FİNANSAL HOLDİNG ŞİRKETLERİ HAKKINDA YÖNETMELİKTE</w:t>
                  </w:r>
                </w:p>
                <w:p w:rsidR="001B4767" w:rsidRPr="001B4767" w:rsidRDefault="001B4767" w:rsidP="001B4767">
                  <w:pPr>
                    <w:tabs>
                      <w:tab w:val="left" w:pos="566"/>
                    </w:tabs>
                    <w:spacing w:after="0" w:line="240" w:lineRule="exact"/>
                    <w:jc w:val="center"/>
                    <w:rPr>
                      <w:rFonts w:ascii="Times New Roman" w:eastAsia="Times New Roman" w:hAnsi="Times New Roman" w:cs="Times New Roman"/>
                      <w:b/>
                      <w:sz w:val="18"/>
                      <w:szCs w:val="18"/>
                      <w:lang w:eastAsia="tr-TR"/>
                    </w:rPr>
                  </w:pPr>
                  <w:r w:rsidRPr="001B4767">
                    <w:rPr>
                      <w:rFonts w:ascii="Times New Roman" w:eastAsia="Times New Roman" w:hAnsi="Times New Roman" w:cs="Times New Roman"/>
                      <w:b/>
                      <w:sz w:val="18"/>
                      <w:szCs w:val="18"/>
                      <w:lang w:eastAsia="tr-TR"/>
                    </w:rPr>
                    <w:t>DEĞİŞİKLİK YAPILMASINA DAİR YÖNETMELİK</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b/>
                      <w:sz w:val="18"/>
                      <w:szCs w:val="18"/>
                      <w:lang w:eastAsia="tr-TR"/>
                    </w:rPr>
                    <w:t>MADDE 1 –</w:t>
                  </w:r>
                  <w:r w:rsidRPr="001B4767">
                    <w:rPr>
                      <w:rFonts w:ascii="Times New Roman" w:eastAsia="Times New Roman" w:hAnsi="Times New Roman" w:cs="Times New Roman"/>
                      <w:sz w:val="18"/>
                      <w:szCs w:val="18"/>
                      <w:lang w:eastAsia="tr-TR"/>
                    </w:rPr>
                    <w:t xml:space="preserve"> </w:t>
                  </w:r>
                  <w:proofErr w:type="gramStart"/>
                  <w:r w:rsidRPr="001B4767">
                    <w:rPr>
                      <w:rFonts w:ascii="Times New Roman" w:eastAsia="Times New Roman" w:hAnsi="Times New Roman" w:cs="Times New Roman"/>
                      <w:sz w:val="18"/>
                      <w:szCs w:val="18"/>
                      <w:lang w:eastAsia="tr-TR"/>
                    </w:rPr>
                    <w:t>1/11/2006</w:t>
                  </w:r>
                  <w:proofErr w:type="gramEnd"/>
                  <w:r w:rsidRPr="001B4767">
                    <w:rPr>
                      <w:rFonts w:ascii="Times New Roman" w:eastAsia="Times New Roman" w:hAnsi="Times New Roman" w:cs="Times New Roman"/>
                      <w:sz w:val="18"/>
                      <w:szCs w:val="18"/>
                      <w:lang w:eastAsia="tr-TR"/>
                    </w:rPr>
                    <w:t xml:space="preserve"> tarihli ve 26333 sayılı Resmî Gazete’de yayımlanan Finansal Holding Şirketleri Hakkında Yönetmeliğin 7 </w:t>
                  </w:r>
                  <w:proofErr w:type="spellStart"/>
                  <w:r w:rsidRPr="001B4767">
                    <w:rPr>
                      <w:rFonts w:ascii="Times New Roman" w:eastAsia="Times New Roman" w:hAnsi="Times New Roman" w:cs="Times New Roman"/>
                      <w:sz w:val="18"/>
                      <w:szCs w:val="18"/>
                      <w:lang w:eastAsia="tr-TR"/>
                    </w:rPr>
                    <w:t>nci</w:t>
                  </w:r>
                  <w:proofErr w:type="spellEnd"/>
                  <w:r w:rsidRPr="001B4767">
                    <w:rPr>
                      <w:rFonts w:ascii="Times New Roman" w:eastAsia="Times New Roman" w:hAnsi="Times New Roman" w:cs="Times New Roman"/>
                      <w:sz w:val="18"/>
                      <w:szCs w:val="18"/>
                      <w:lang w:eastAsia="tr-TR"/>
                    </w:rPr>
                    <w:t xml:space="preserve"> maddesinin beşinci ve yedinci fıkraları aşağıdaki şekilde değiştirilmiştir.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sz w:val="18"/>
                      <w:szCs w:val="18"/>
                      <w:lang w:eastAsia="tr-TR"/>
                    </w:rPr>
                    <w:t xml:space="preserve">“(5) Finansal holding şirketinin bağlı ortaklığı konumundaki banka bünyesinde </w:t>
                  </w:r>
                  <w:proofErr w:type="gramStart"/>
                  <w:r w:rsidRPr="001B4767">
                    <w:rPr>
                      <w:rFonts w:ascii="Times New Roman" w:eastAsia="Times New Roman" w:hAnsi="Times New Roman" w:cs="Times New Roman"/>
                      <w:sz w:val="18"/>
                      <w:szCs w:val="18"/>
                      <w:lang w:eastAsia="tr-TR"/>
                    </w:rPr>
                    <w:t>11/7/2014</w:t>
                  </w:r>
                  <w:proofErr w:type="gramEnd"/>
                  <w:r w:rsidRPr="001B4767">
                    <w:rPr>
                      <w:rFonts w:ascii="Times New Roman" w:eastAsia="Times New Roman" w:hAnsi="Times New Roman" w:cs="Times New Roman"/>
                      <w:sz w:val="18"/>
                      <w:szCs w:val="18"/>
                      <w:lang w:eastAsia="tr-TR"/>
                    </w:rPr>
                    <w:t xml:space="preserve"> tarihli ve 29057 sayılı Resmî Gazete’de yayımlanan Bankaların İç Sistemleri ve İçsel Sermaye Yeterliliği Değerlendirme Süreci Hakkında Yönetmelikte belirlenen usul ve esaslar çerçevesinde oluşturulan denetim komitesinin üyeleri, finansal holding şirketinin denetim komitesinde de görev alabilirler.”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sz w:val="18"/>
                      <w:szCs w:val="18"/>
                      <w:lang w:eastAsia="tr-TR"/>
                    </w:rPr>
                    <w:t xml:space="preserve">“(7) Finansal holding şirketleri, maruz kaldıkları risklerin izlenmesi, kontrolünün sağlanması, faaliyetlerinin kapsamı ve yapısıyla uyumlu ve değişen koşullara uygun, tüm </w:t>
                  </w:r>
                  <w:proofErr w:type="gramStart"/>
                  <w:r w:rsidRPr="001B4767">
                    <w:rPr>
                      <w:rFonts w:ascii="Times New Roman" w:eastAsia="Times New Roman" w:hAnsi="Times New Roman" w:cs="Times New Roman"/>
                      <w:sz w:val="18"/>
                      <w:szCs w:val="18"/>
                      <w:lang w:eastAsia="tr-TR"/>
                    </w:rPr>
                    <w:t>konsolidasyona</w:t>
                  </w:r>
                  <w:proofErr w:type="gramEnd"/>
                  <w:r w:rsidRPr="001B4767">
                    <w:rPr>
                      <w:rFonts w:ascii="Times New Roman" w:eastAsia="Times New Roman" w:hAnsi="Times New Roman" w:cs="Times New Roman"/>
                      <w:sz w:val="18"/>
                      <w:szCs w:val="18"/>
                      <w:lang w:eastAsia="tr-TR"/>
                    </w:rPr>
                    <w:t xml:space="preserve"> tabi ortaklıklarını kapsayan ve bağlı ortaklığı konumundaki banka bünyesinde oluşturulanlardan ayrı olmak üzere yeterli ve etkin bir iç kontrol, iç denetim ve risk yönetimi sistemi kurmak ve işletmekle yükümlüdürler. Finansal holding şirketleri, maruz kaldıkları ve kalabilecekleri riskleri karşılayacak düzeyde sermayeyi </w:t>
                  </w:r>
                  <w:proofErr w:type="gramStart"/>
                  <w:r w:rsidRPr="001B4767">
                    <w:rPr>
                      <w:rFonts w:ascii="Times New Roman" w:eastAsia="Times New Roman" w:hAnsi="Times New Roman" w:cs="Times New Roman"/>
                      <w:sz w:val="18"/>
                      <w:szCs w:val="18"/>
                      <w:lang w:eastAsia="tr-TR"/>
                    </w:rPr>
                    <w:t>konsolide</w:t>
                  </w:r>
                  <w:proofErr w:type="gramEnd"/>
                  <w:r w:rsidRPr="001B4767">
                    <w:rPr>
                      <w:rFonts w:ascii="Times New Roman" w:eastAsia="Times New Roman" w:hAnsi="Times New Roman" w:cs="Times New Roman"/>
                      <w:sz w:val="18"/>
                      <w:szCs w:val="18"/>
                      <w:lang w:eastAsia="tr-TR"/>
                    </w:rPr>
                    <w:t xml:space="preserve"> bazda içsel olarak hesaplamak ve faaliyetlerini bu düzeyin üzerinde bir sermayeyle idame ettirmek zorundadırlar. Bu yükümlülük ve zorunlulukları bakımından Bankaların İç Sistemleri ve İçsel Sermaye Yeterliliği Değerlendirme Süreci Hakkında Yönetmelik hükümleri finansal holding şirketleri hakkında da uygulanır.”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b/>
                      <w:sz w:val="18"/>
                      <w:szCs w:val="18"/>
                      <w:lang w:eastAsia="tr-TR"/>
                    </w:rPr>
                    <w:t xml:space="preserve">MADDE 2 – </w:t>
                  </w:r>
                  <w:r w:rsidRPr="001B4767">
                    <w:rPr>
                      <w:rFonts w:ascii="Times New Roman" w:eastAsia="Times New Roman" w:hAnsi="Times New Roman" w:cs="Times New Roman"/>
                      <w:sz w:val="18"/>
                      <w:szCs w:val="18"/>
                      <w:lang w:eastAsia="tr-TR"/>
                    </w:rPr>
                    <w:t>Aynı Yönetmeliğin 8 inci maddesi başlığı ile birlikte aşağıdaki şekilde değiştirilmiştir.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b/>
                      <w:sz w:val="18"/>
                      <w:szCs w:val="18"/>
                      <w:lang w:eastAsia="tr-TR"/>
                    </w:rPr>
                  </w:pPr>
                  <w:r w:rsidRPr="001B4767">
                    <w:rPr>
                      <w:rFonts w:ascii="Times New Roman" w:eastAsia="Times New Roman" w:hAnsi="Times New Roman" w:cs="Times New Roman"/>
                      <w:sz w:val="18"/>
                      <w:szCs w:val="18"/>
                      <w:lang w:eastAsia="tr-TR"/>
                    </w:rPr>
                    <w:t>“</w:t>
                  </w:r>
                  <w:proofErr w:type="spellStart"/>
                  <w:r w:rsidRPr="001B4767">
                    <w:rPr>
                      <w:rFonts w:ascii="Times New Roman" w:eastAsia="Times New Roman" w:hAnsi="Times New Roman" w:cs="Times New Roman"/>
                      <w:b/>
                      <w:sz w:val="18"/>
                      <w:szCs w:val="18"/>
                      <w:lang w:eastAsia="tr-TR"/>
                    </w:rPr>
                    <w:t>Özkaynaklar</w:t>
                  </w:r>
                  <w:proofErr w:type="spellEnd"/>
                  <w:r w:rsidRPr="001B4767">
                    <w:rPr>
                      <w:rFonts w:ascii="Times New Roman" w:eastAsia="Times New Roman" w:hAnsi="Times New Roman" w:cs="Times New Roman"/>
                      <w:b/>
                      <w:sz w:val="18"/>
                      <w:szCs w:val="18"/>
                      <w:lang w:eastAsia="tr-TR"/>
                    </w:rPr>
                    <w:t>, sermaye yeterliliği, kaldıraç oranı ve likidite yeterliliği</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b/>
                      <w:sz w:val="18"/>
                      <w:szCs w:val="18"/>
                      <w:lang w:eastAsia="tr-TR"/>
                    </w:rPr>
                    <w:t>MADDE 8 –</w:t>
                  </w:r>
                  <w:r w:rsidRPr="001B4767">
                    <w:rPr>
                      <w:rFonts w:ascii="Times New Roman" w:eastAsia="Times New Roman" w:hAnsi="Times New Roman" w:cs="Times New Roman"/>
                      <w:sz w:val="18"/>
                      <w:szCs w:val="18"/>
                      <w:lang w:eastAsia="tr-TR"/>
                    </w:rPr>
                    <w:t xml:space="preserve"> (1) Finansal holding şirketleri, 5/9/2013 tarihli ve 28756 sayılı Resmî Gazete’de yayımlanan Bankaların </w:t>
                  </w:r>
                  <w:proofErr w:type="spellStart"/>
                  <w:r w:rsidRPr="001B4767">
                    <w:rPr>
                      <w:rFonts w:ascii="Times New Roman" w:eastAsia="Times New Roman" w:hAnsi="Times New Roman" w:cs="Times New Roman"/>
                      <w:sz w:val="18"/>
                      <w:szCs w:val="18"/>
                      <w:lang w:eastAsia="tr-TR"/>
                    </w:rPr>
                    <w:t>Özkaynaklarına</w:t>
                  </w:r>
                  <w:proofErr w:type="spellEnd"/>
                  <w:r w:rsidRPr="001B4767">
                    <w:rPr>
                      <w:rFonts w:ascii="Times New Roman" w:eastAsia="Times New Roman" w:hAnsi="Times New Roman" w:cs="Times New Roman"/>
                      <w:sz w:val="18"/>
                      <w:szCs w:val="18"/>
                      <w:lang w:eastAsia="tr-TR"/>
                    </w:rPr>
                    <w:t xml:space="preserve"> İlişkin Yönetmelik hükümleri çerçevesinde </w:t>
                  </w:r>
                  <w:proofErr w:type="gramStart"/>
                  <w:r w:rsidRPr="001B4767">
                    <w:rPr>
                      <w:rFonts w:ascii="Times New Roman" w:eastAsia="Times New Roman" w:hAnsi="Times New Roman" w:cs="Times New Roman"/>
                      <w:sz w:val="18"/>
                      <w:szCs w:val="18"/>
                      <w:lang w:eastAsia="tr-TR"/>
                    </w:rPr>
                    <w:t>konsolide</w:t>
                  </w:r>
                  <w:proofErr w:type="gramEnd"/>
                  <w:r w:rsidRPr="001B4767">
                    <w:rPr>
                      <w:rFonts w:ascii="Times New Roman" w:eastAsia="Times New Roman" w:hAnsi="Times New Roman" w:cs="Times New Roman"/>
                      <w:sz w:val="18"/>
                      <w:szCs w:val="18"/>
                      <w:lang w:eastAsia="tr-TR"/>
                    </w:rPr>
                    <w:t xml:space="preserve"> </w:t>
                  </w:r>
                  <w:proofErr w:type="spellStart"/>
                  <w:r w:rsidRPr="001B4767">
                    <w:rPr>
                      <w:rFonts w:ascii="Times New Roman" w:eastAsia="Times New Roman" w:hAnsi="Times New Roman" w:cs="Times New Roman"/>
                      <w:sz w:val="18"/>
                      <w:szCs w:val="18"/>
                      <w:lang w:eastAsia="tr-TR"/>
                    </w:rPr>
                    <w:t>özkaynak</w:t>
                  </w:r>
                  <w:proofErr w:type="spellEnd"/>
                  <w:r w:rsidRPr="001B4767">
                    <w:rPr>
                      <w:rFonts w:ascii="Times New Roman" w:eastAsia="Times New Roman" w:hAnsi="Times New Roman" w:cs="Times New Roman"/>
                      <w:sz w:val="18"/>
                      <w:szCs w:val="18"/>
                      <w:lang w:eastAsia="tr-TR"/>
                    </w:rPr>
                    <w:t xml:space="preserve"> hesaplamakla yükümlüdür.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sz w:val="18"/>
                      <w:szCs w:val="18"/>
                      <w:lang w:eastAsia="tr-TR"/>
                    </w:rPr>
                    <w:t xml:space="preserve">(2) Finansal holding şirketleri, maruz kalınan riskler nedeniyle oluşabilecek zararlara karşı </w:t>
                  </w:r>
                  <w:proofErr w:type="gramStart"/>
                  <w:r w:rsidRPr="001B4767">
                    <w:rPr>
                      <w:rFonts w:ascii="Times New Roman" w:eastAsia="Times New Roman" w:hAnsi="Times New Roman" w:cs="Times New Roman"/>
                      <w:sz w:val="18"/>
                      <w:szCs w:val="18"/>
                      <w:lang w:eastAsia="tr-TR"/>
                    </w:rPr>
                    <w:t>konsolide</w:t>
                  </w:r>
                  <w:proofErr w:type="gramEnd"/>
                  <w:r w:rsidRPr="001B4767">
                    <w:rPr>
                      <w:rFonts w:ascii="Times New Roman" w:eastAsia="Times New Roman" w:hAnsi="Times New Roman" w:cs="Times New Roman"/>
                      <w:sz w:val="18"/>
                      <w:szCs w:val="18"/>
                      <w:lang w:eastAsia="tr-TR"/>
                    </w:rPr>
                    <w:t xml:space="preserve"> bazda yeterli </w:t>
                  </w:r>
                  <w:proofErr w:type="spellStart"/>
                  <w:r w:rsidRPr="001B4767">
                    <w:rPr>
                      <w:rFonts w:ascii="Times New Roman" w:eastAsia="Times New Roman" w:hAnsi="Times New Roman" w:cs="Times New Roman"/>
                      <w:sz w:val="18"/>
                      <w:szCs w:val="18"/>
                      <w:lang w:eastAsia="tr-TR"/>
                    </w:rPr>
                    <w:t>özkaynak</w:t>
                  </w:r>
                  <w:proofErr w:type="spellEnd"/>
                  <w:r w:rsidRPr="001B4767">
                    <w:rPr>
                      <w:rFonts w:ascii="Times New Roman" w:eastAsia="Times New Roman" w:hAnsi="Times New Roman" w:cs="Times New Roman"/>
                      <w:sz w:val="18"/>
                      <w:szCs w:val="18"/>
                      <w:lang w:eastAsia="tr-TR"/>
                    </w:rPr>
                    <w:t xml:space="preserve"> bulundurmalarının sağlanması amacıyla Bankaların Sermaye Yeterliliğine İlişkin Yönetmelik hükümleri çerçevesinde sermaye yeterliliği hesaplarlar.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sz w:val="18"/>
                      <w:szCs w:val="18"/>
                      <w:lang w:eastAsia="tr-TR"/>
                    </w:rPr>
                    <w:t xml:space="preserve">(3) Finansal holding şirketleri, </w:t>
                  </w:r>
                  <w:proofErr w:type="gramStart"/>
                  <w:r w:rsidRPr="001B4767">
                    <w:rPr>
                      <w:rFonts w:ascii="Times New Roman" w:eastAsia="Times New Roman" w:hAnsi="Times New Roman" w:cs="Times New Roman"/>
                      <w:sz w:val="18"/>
                      <w:szCs w:val="18"/>
                      <w:lang w:eastAsia="tr-TR"/>
                    </w:rPr>
                    <w:t>konsolide</w:t>
                  </w:r>
                  <w:proofErr w:type="gramEnd"/>
                  <w:r w:rsidRPr="001B4767">
                    <w:rPr>
                      <w:rFonts w:ascii="Times New Roman" w:eastAsia="Times New Roman" w:hAnsi="Times New Roman" w:cs="Times New Roman"/>
                      <w:sz w:val="18"/>
                      <w:szCs w:val="18"/>
                      <w:lang w:eastAsia="tr-TR"/>
                    </w:rPr>
                    <w:t xml:space="preserve"> bazda sermaye koruma tamponu ve döngüsel sermaye tamponu olarak ilave çekirdek sermaye bulundurmak zorundadır. Sermaye koruma tamponu ve döngüsel sermaye tamponu olarak bulundurulması gereken ilave çekirdek sermaye tutarının hesaplanmasına ve ilave çekirdek sermaye gereksiniminin karşılanamaması halinde yapılacak işlemler ile alınacak tedbirler bakımından finansal holding şirketleri hakkında </w:t>
                  </w:r>
                  <w:proofErr w:type="gramStart"/>
                  <w:r w:rsidRPr="001B4767">
                    <w:rPr>
                      <w:rFonts w:ascii="Times New Roman" w:eastAsia="Times New Roman" w:hAnsi="Times New Roman" w:cs="Times New Roman"/>
                      <w:sz w:val="18"/>
                      <w:szCs w:val="18"/>
                      <w:lang w:eastAsia="tr-TR"/>
                    </w:rPr>
                    <w:t>5/11/2013</w:t>
                  </w:r>
                  <w:proofErr w:type="gramEnd"/>
                  <w:r w:rsidRPr="001B4767">
                    <w:rPr>
                      <w:rFonts w:ascii="Times New Roman" w:eastAsia="Times New Roman" w:hAnsi="Times New Roman" w:cs="Times New Roman"/>
                      <w:sz w:val="18"/>
                      <w:szCs w:val="18"/>
                      <w:lang w:eastAsia="tr-TR"/>
                    </w:rPr>
                    <w:t xml:space="preserve"> tarihli ve 28812 sayılı Resmî Gazete’de yayımlanan Sermaye Koruma ve Döngüsel Sermaye Tamponlarına İlişkin Yönetmelik hükümleri uygulanır.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sz w:val="18"/>
                      <w:szCs w:val="18"/>
                      <w:lang w:eastAsia="tr-TR"/>
                    </w:rPr>
                    <w:t xml:space="preserve">(4) Finansal holding şirketleri, kaldıraç etkisiyle maruz kalmaları muhtemel risklere karşı </w:t>
                  </w:r>
                  <w:proofErr w:type="gramStart"/>
                  <w:r w:rsidRPr="001B4767">
                    <w:rPr>
                      <w:rFonts w:ascii="Times New Roman" w:eastAsia="Times New Roman" w:hAnsi="Times New Roman" w:cs="Times New Roman"/>
                      <w:sz w:val="18"/>
                      <w:szCs w:val="18"/>
                      <w:lang w:eastAsia="tr-TR"/>
                    </w:rPr>
                    <w:t>konsolide</w:t>
                  </w:r>
                  <w:proofErr w:type="gramEnd"/>
                  <w:r w:rsidRPr="001B4767">
                    <w:rPr>
                      <w:rFonts w:ascii="Times New Roman" w:eastAsia="Times New Roman" w:hAnsi="Times New Roman" w:cs="Times New Roman"/>
                      <w:sz w:val="18"/>
                      <w:szCs w:val="18"/>
                      <w:lang w:eastAsia="tr-TR"/>
                    </w:rPr>
                    <w:t xml:space="preserve"> yeterli sermaye bulundurmakla yükümlüdür. Bu yeterli sermayenin bulundurulmasının sağlanması bakımından finansal holding şirketleri hakkında, </w:t>
                  </w:r>
                  <w:proofErr w:type="gramStart"/>
                  <w:r w:rsidRPr="001B4767">
                    <w:rPr>
                      <w:rFonts w:ascii="Times New Roman" w:eastAsia="Times New Roman" w:hAnsi="Times New Roman" w:cs="Times New Roman"/>
                      <w:sz w:val="18"/>
                      <w:szCs w:val="18"/>
                      <w:lang w:eastAsia="tr-TR"/>
                    </w:rPr>
                    <w:t>5/11/2013</w:t>
                  </w:r>
                  <w:proofErr w:type="gramEnd"/>
                  <w:r w:rsidRPr="001B4767">
                    <w:rPr>
                      <w:rFonts w:ascii="Times New Roman" w:eastAsia="Times New Roman" w:hAnsi="Times New Roman" w:cs="Times New Roman"/>
                      <w:sz w:val="18"/>
                      <w:szCs w:val="18"/>
                      <w:lang w:eastAsia="tr-TR"/>
                    </w:rPr>
                    <w:t xml:space="preserve"> tarihli ve 28812 sayılı Resmî Gazete’de yayımlanan Bankaların Kaldıraç Düzeyinin Ölçülmesine ve Değerlendirilmesine İlişkin Yönetmelik hükümleri uygulanır.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sz w:val="18"/>
                      <w:szCs w:val="18"/>
                      <w:lang w:eastAsia="tr-TR"/>
                    </w:rPr>
                    <w:t xml:space="preserve">(5) Finansal holding şirketleri, 21/3/2014 tarihli ve 28948 sayılı Resmî Gazete’de yayımlanan Bankaların Likidite Karşılama Oranı Hesaplamasına İlişkin Yönetmelik hükümleri çerçevesinde, </w:t>
                  </w:r>
                  <w:proofErr w:type="gramStart"/>
                  <w:r w:rsidRPr="001B4767">
                    <w:rPr>
                      <w:rFonts w:ascii="Times New Roman" w:eastAsia="Times New Roman" w:hAnsi="Times New Roman" w:cs="Times New Roman"/>
                      <w:sz w:val="18"/>
                      <w:szCs w:val="18"/>
                      <w:lang w:eastAsia="tr-TR"/>
                    </w:rPr>
                    <w:t>konsolide</w:t>
                  </w:r>
                  <w:proofErr w:type="gramEnd"/>
                  <w:r w:rsidRPr="001B4767">
                    <w:rPr>
                      <w:rFonts w:ascii="Times New Roman" w:eastAsia="Times New Roman" w:hAnsi="Times New Roman" w:cs="Times New Roman"/>
                      <w:sz w:val="18"/>
                      <w:szCs w:val="18"/>
                      <w:lang w:eastAsia="tr-TR"/>
                    </w:rPr>
                    <w:t xml:space="preserve"> bazda asgari likidite düzeyini belirlemek amacıyla net nakit çıkışlarını karşılayabilecek seviyede yeterli yüksek kaliteli likit varlık stoku bulundurmakla yükümlüdür.”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b/>
                      <w:sz w:val="18"/>
                      <w:szCs w:val="18"/>
                      <w:lang w:eastAsia="tr-TR"/>
                    </w:rPr>
                    <w:t>MADDE 3 –</w:t>
                  </w:r>
                  <w:r w:rsidRPr="001B4767">
                    <w:rPr>
                      <w:rFonts w:ascii="Times New Roman" w:eastAsia="Times New Roman" w:hAnsi="Times New Roman" w:cs="Times New Roman"/>
                      <w:sz w:val="18"/>
                      <w:szCs w:val="18"/>
                      <w:lang w:eastAsia="tr-TR"/>
                    </w:rPr>
                    <w:t xml:space="preserve"> Aynı Yönetmeliğin 11 inci maddesi aşağıdaki şekilde değiştirilmiştir.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sz w:val="18"/>
                      <w:szCs w:val="18"/>
                      <w:lang w:eastAsia="tr-TR"/>
                    </w:rPr>
                    <w:t>“</w:t>
                  </w:r>
                  <w:r w:rsidRPr="001B4767">
                    <w:rPr>
                      <w:rFonts w:ascii="Times New Roman" w:eastAsia="Times New Roman" w:hAnsi="Times New Roman" w:cs="Times New Roman"/>
                      <w:b/>
                      <w:sz w:val="18"/>
                      <w:szCs w:val="18"/>
                      <w:lang w:eastAsia="tr-TR"/>
                    </w:rPr>
                    <w:t xml:space="preserve">MADDE 11 – </w:t>
                  </w:r>
                  <w:r w:rsidRPr="001B4767">
                    <w:rPr>
                      <w:rFonts w:ascii="Times New Roman" w:eastAsia="Times New Roman" w:hAnsi="Times New Roman" w:cs="Times New Roman"/>
                      <w:sz w:val="18"/>
                      <w:szCs w:val="18"/>
                      <w:lang w:eastAsia="tr-TR"/>
                    </w:rPr>
                    <w:t xml:space="preserve">(1) Finansal holding şirketlerinin tabi oldukları sınırlama ve oranlara ilişkin aşımların giderilmesinde </w:t>
                  </w:r>
                  <w:r w:rsidRPr="001B4767">
                    <w:rPr>
                      <w:rFonts w:ascii="Times New Roman" w:eastAsia="Times New Roman" w:hAnsi="Times New Roman" w:cs="Times New Roman"/>
                      <w:sz w:val="18"/>
                      <w:szCs w:val="18"/>
                      <w:lang w:eastAsia="tr-TR"/>
                    </w:rPr>
                    <w:lastRenderedPageBreak/>
                    <w:t>ilgili mevzuat hükümleri uygulanır.”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b/>
                      <w:sz w:val="18"/>
                      <w:szCs w:val="18"/>
                      <w:lang w:eastAsia="tr-TR"/>
                    </w:rPr>
                    <w:t xml:space="preserve">MADDE 4 – </w:t>
                  </w:r>
                  <w:r w:rsidRPr="001B4767">
                    <w:rPr>
                      <w:rFonts w:ascii="Times New Roman" w:eastAsia="Times New Roman" w:hAnsi="Times New Roman" w:cs="Times New Roman"/>
                      <w:sz w:val="18"/>
                      <w:szCs w:val="18"/>
                      <w:lang w:eastAsia="tr-TR"/>
                    </w:rPr>
                    <w:t xml:space="preserve">Bu Yönetmelik </w:t>
                  </w:r>
                  <w:proofErr w:type="gramStart"/>
                  <w:r w:rsidRPr="001B4767">
                    <w:rPr>
                      <w:rFonts w:ascii="Times New Roman" w:eastAsia="Times New Roman" w:hAnsi="Times New Roman" w:cs="Times New Roman"/>
                      <w:sz w:val="18"/>
                      <w:szCs w:val="18"/>
                      <w:lang w:eastAsia="tr-TR"/>
                    </w:rPr>
                    <w:t>31/3/2016</w:t>
                  </w:r>
                  <w:proofErr w:type="gramEnd"/>
                  <w:r w:rsidRPr="001B4767">
                    <w:rPr>
                      <w:rFonts w:ascii="Times New Roman" w:eastAsia="Times New Roman" w:hAnsi="Times New Roman" w:cs="Times New Roman"/>
                      <w:sz w:val="18"/>
                      <w:szCs w:val="18"/>
                      <w:lang w:eastAsia="tr-TR"/>
                    </w:rPr>
                    <w:t xml:space="preserve"> tarihinde yürürlüğe girer.</w:t>
                  </w:r>
                </w:p>
                <w:p w:rsidR="001B4767" w:rsidRPr="001B4767" w:rsidRDefault="001B4767" w:rsidP="001B4767">
                  <w:pPr>
                    <w:spacing w:before="100" w:beforeAutospacing="1" w:after="100" w:afterAutospacing="1" w:line="240" w:lineRule="exact"/>
                    <w:rPr>
                      <w:rFonts w:ascii="Times New Roman" w:eastAsia="Times New Roman" w:hAnsi="Times New Roman" w:cs="Times New Roman"/>
                      <w:sz w:val="18"/>
                      <w:szCs w:val="18"/>
                      <w:lang w:eastAsia="tr-TR"/>
                    </w:rPr>
                  </w:pPr>
                  <w:r w:rsidRPr="001B4767">
                    <w:rPr>
                      <w:rFonts w:ascii="Times New Roman" w:eastAsia="Times New Roman" w:hAnsi="Times New Roman" w:cs="Times New Roman"/>
                      <w:b/>
                      <w:sz w:val="18"/>
                      <w:szCs w:val="18"/>
                      <w:lang w:eastAsia="tr-TR"/>
                    </w:rPr>
                    <w:t xml:space="preserve">MADDE 5 – </w:t>
                  </w:r>
                  <w:r w:rsidRPr="001B4767">
                    <w:rPr>
                      <w:rFonts w:ascii="Times New Roman" w:eastAsia="Times New Roman" w:hAnsi="Times New Roman" w:cs="Times New Roman"/>
                      <w:sz w:val="18"/>
                      <w:szCs w:val="18"/>
                      <w:lang w:eastAsia="tr-TR"/>
                    </w:rPr>
                    <w:t>Bu Yönetmelik hükümlerini Bankacılık Düzenleme ve Denetleme Kurumu Başkanı yürütür.</w:t>
                  </w:r>
                </w:p>
                <w:p w:rsidR="001B4767" w:rsidRPr="001B4767" w:rsidRDefault="001B4767" w:rsidP="001B4767">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1B4767" w:rsidRPr="001B4767">
                    <w:trPr>
                      <w:jc w:val="center"/>
                    </w:trPr>
                    <w:tc>
                      <w:tcPr>
                        <w:tcW w:w="8505" w:type="dxa"/>
                        <w:gridSpan w:val="2"/>
                        <w:tcBorders>
                          <w:top w:val="single" w:sz="4" w:space="0" w:color="auto"/>
                          <w:left w:val="single" w:sz="4" w:space="0" w:color="auto"/>
                          <w:bottom w:val="nil"/>
                          <w:right w:val="single" w:sz="4" w:space="0" w:color="auto"/>
                        </w:tcBorders>
                        <w:hideMark/>
                      </w:tcPr>
                      <w:p w:rsidR="001B4767" w:rsidRPr="001B4767" w:rsidRDefault="001B4767" w:rsidP="001B4767">
                        <w:pPr>
                          <w:tabs>
                            <w:tab w:val="left" w:pos="566"/>
                          </w:tabs>
                          <w:spacing w:after="0" w:line="240" w:lineRule="exact"/>
                          <w:jc w:val="center"/>
                          <w:rPr>
                            <w:rFonts w:ascii="Times New Roman" w:eastAsia="Times New Roman" w:hAnsi="Times New Roman" w:cs="Times New Roman"/>
                            <w:b/>
                            <w:sz w:val="18"/>
                            <w:szCs w:val="18"/>
                          </w:rPr>
                        </w:pPr>
                        <w:r w:rsidRPr="001B4767">
                          <w:rPr>
                            <w:rFonts w:ascii="Times New Roman" w:eastAsia="Times New Roman" w:hAnsi="Times New Roman" w:cs="Times New Roman"/>
                            <w:b/>
                            <w:sz w:val="18"/>
                            <w:szCs w:val="18"/>
                          </w:rPr>
                          <w:t>Yönetmeliğin Yayımlandığı Resmî Gazete'nin</w:t>
                        </w:r>
                      </w:p>
                    </w:tc>
                  </w:tr>
                  <w:tr w:rsidR="001B4767" w:rsidRPr="001B4767">
                    <w:trPr>
                      <w:jc w:val="center"/>
                    </w:trPr>
                    <w:tc>
                      <w:tcPr>
                        <w:tcW w:w="4254" w:type="dxa"/>
                        <w:tcBorders>
                          <w:top w:val="nil"/>
                          <w:left w:val="single" w:sz="4" w:space="0" w:color="auto"/>
                          <w:bottom w:val="single" w:sz="4" w:space="0" w:color="auto"/>
                          <w:right w:val="nil"/>
                        </w:tcBorders>
                        <w:hideMark/>
                      </w:tcPr>
                      <w:p w:rsidR="001B4767" w:rsidRPr="001B4767" w:rsidRDefault="001B4767" w:rsidP="001B4767">
                        <w:pPr>
                          <w:tabs>
                            <w:tab w:val="left" w:pos="566"/>
                          </w:tabs>
                          <w:spacing w:after="0" w:line="240" w:lineRule="exact"/>
                          <w:jc w:val="center"/>
                          <w:rPr>
                            <w:rFonts w:ascii="Times New Roman" w:eastAsia="Times New Roman" w:hAnsi="Times New Roman" w:cs="Times New Roman"/>
                            <w:b/>
                            <w:sz w:val="18"/>
                            <w:szCs w:val="18"/>
                          </w:rPr>
                        </w:pPr>
                        <w:r w:rsidRPr="001B476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B4767" w:rsidRPr="001B4767" w:rsidRDefault="001B4767" w:rsidP="001B4767">
                        <w:pPr>
                          <w:tabs>
                            <w:tab w:val="left" w:pos="566"/>
                          </w:tabs>
                          <w:spacing w:after="0" w:line="240" w:lineRule="exact"/>
                          <w:jc w:val="center"/>
                          <w:rPr>
                            <w:rFonts w:ascii="Times New Roman" w:eastAsia="Times New Roman" w:hAnsi="Times New Roman" w:cs="Times New Roman"/>
                            <w:b/>
                            <w:sz w:val="18"/>
                            <w:szCs w:val="18"/>
                          </w:rPr>
                        </w:pPr>
                        <w:r w:rsidRPr="001B4767">
                          <w:rPr>
                            <w:rFonts w:ascii="Times New Roman" w:eastAsia="Times New Roman" w:hAnsi="Times New Roman" w:cs="Times New Roman"/>
                            <w:b/>
                            <w:sz w:val="18"/>
                            <w:szCs w:val="18"/>
                          </w:rPr>
                          <w:t>Sayısı</w:t>
                        </w:r>
                      </w:p>
                    </w:tc>
                  </w:tr>
                  <w:tr w:rsidR="001B4767" w:rsidRPr="001B4767">
                    <w:trPr>
                      <w:jc w:val="center"/>
                    </w:trPr>
                    <w:tc>
                      <w:tcPr>
                        <w:tcW w:w="4254" w:type="dxa"/>
                        <w:tcBorders>
                          <w:top w:val="single" w:sz="4" w:space="0" w:color="auto"/>
                          <w:left w:val="single" w:sz="4" w:space="0" w:color="auto"/>
                          <w:bottom w:val="single" w:sz="4" w:space="0" w:color="auto"/>
                          <w:right w:val="single" w:sz="4" w:space="0" w:color="auto"/>
                        </w:tcBorders>
                        <w:hideMark/>
                      </w:tcPr>
                      <w:p w:rsidR="001B4767" w:rsidRPr="001B4767" w:rsidRDefault="001B4767" w:rsidP="001B4767">
                        <w:pPr>
                          <w:tabs>
                            <w:tab w:val="left" w:pos="566"/>
                          </w:tabs>
                          <w:spacing w:after="0" w:line="240" w:lineRule="exact"/>
                          <w:jc w:val="center"/>
                          <w:rPr>
                            <w:rFonts w:ascii="Times New Roman" w:eastAsia="Times New Roman" w:hAnsi="Times New Roman" w:cs="Times New Roman"/>
                            <w:sz w:val="18"/>
                            <w:szCs w:val="18"/>
                          </w:rPr>
                        </w:pPr>
                        <w:proofErr w:type="gramStart"/>
                        <w:r w:rsidRPr="001B4767">
                          <w:rPr>
                            <w:rFonts w:ascii="Times New Roman" w:eastAsia="Times New Roman" w:hAnsi="Times New Roman"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B4767" w:rsidRPr="001B4767" w:rsidRDefault="001B4767" w:rsidP="001B4767">
                        <w:pPr>
                          <w:tabs>
                            <w:tab w:val="left" w:pos="566"/>
                          </w:tabs>
                          <w:spacing w:after="0" w:line="240" w:lineRule="exact"/>
                          <w:jc w:val="center"/>
                          <w:rPr>
                            <w:rFonts w:ascii="Times New Roman" w:eastAsia="Times New Roman" w:hAnsi="Times New Roman" w:cs="Times New Roman"/>
                            <w:sz w:val="18"/>
                            <w:szCs w:val="18"/>
                          </w:rPr>
                        </w:pPr>
                        <w:r w:rsidRPr="001B4767">
                          <w:rPr>
                            <w:rFonts w:ascii="Times New Roman" w:eastAsia="Times New Roman" w:hAnsi="Times New Roman" w:cs="Times New Roman"/>
                            <w:sz w:val="18"/>
                            <w:szCs w:val="18"/>
                          </w:rPr>
                          <w:t>26333</w:t>
                        </w:r>
                      </w:p>
                    </w:tc>
                  </w:tr>
                  <w:tr w:rsidR="001B4767" w:rsidRPr="001B4767">
                    <w:trPr>
                      <w:jc w:val="center"/>
                    </w:trPr>
                    <w:tc>
                      <w:tcPr>
                        <w:tcW w:w="8505" w:type="dxa"/>
                        <w:gridSpan w:val="2"/>
                        <w:tcBorders>
                          <w:top w:val="single" w:sz="4" w:space="0" w:color="auto"/>
                          <w:left w:val="single" w:sz="4" w:space="0" w:color="auto"/>
                          <w:bottom w:val="nil"/>
                          <w:right w:val="single" w:sz="4" w:space="0" w:color="auto"/>
                        </w:tcBorders>
                        <w:hideMark/>
                      </w:tcPr>
                      <w:p w:rsidR="001B4767" w:rsidRPr="001B4767" w:rsidRDefault="001B4767" w:rsidP="001B4767">
                        <w:pPr>
                          <w:tabs>
                            <w:tab w:val="left" w:pos="566"/>
                          </w:tabs>
                          <w:spacing w:after="0" w:line="240" w:lineRule="exact"/>
                          <w:jc w:val="center"/>
                          <w:rPr>
                            <w:rFonts w:ascii="Times New Roman" w:eastAsia="Times New Roman" w:hAnsi="Times New Roman" w:cs="Times New Roman"/>
                            <w:b/>
                            <w:sz w:val="18"/>
                            <w:szCs w:val="18"/>
                          </w:rPr>
                        </w:pPr>
                        <w:r w:rsidRPr="001B4767">
                          <w:rPr>
                            <w:rFonts w:ascii="Times New Roman" w:eastAsia="Times New Roman" w:hAnsi="Times New Roman" w:cs="Times New Roman"/>
                            <w:b/>
                            <w:sz w:val="18"/>
                            <w:szCs w:val="18"/>
                          </w:rPr>
                          <w:t>Yönetmelikte Değişiklik Yapan Yönetmeliğin Yayımlandığı Resmî Gazete'nin</w:t>
                        </w:r>
                      </w:p>
                    </w:tc>
                  </w:tr>
                  <w:tr w:rsidR="001B4767" w:rsidRPr="001B4767">
                    <w:trPr>
                      <w:jc w:val="center"/>
                    </w:trPr>
                    <w:tc>
                      <w:tcPr>
                        <w:tcW w:w="4254" w:type="dxa"/>
                        <w:tcBorders>
                          <w:top w:val="nil"/>
                          <w:left w:val="single" w:sz="4" w:space="0" w:color="auto"/>
                          <w:bottom w:val="single" w:sz="4" w:space="0" w:color="auto"/>
                          <w:right w:val="nil"/>
                        </w:tcBorders>
                        <w:hideMark/>
                      </w:tcPr>
                      <w:p w:rsidR="001B4767" w:rsidRPr="001B4767" w:rsidRDefault="001B4767" w:rsidP="001B4767">
                        <w:pPr>
                          <w:tabs>
                            <w:tab w:val="left" w:pos="566"/>
                          </w:tabs>
                          <w:spacing w:after="0" w:line="240" w:lineRule="exact"/>
                          <w:jc w:val="center"/>
                          <w:rPr>
                            <w:rFonts w:ascii="Times New Roman" w:eastAsia="Times New Roman" w:hAnsi="Times New Roman" w:cs="Times New Roman"/>
                            <w:b/>
                            <w:sz w:val="18"/>
                            <w:szCs w:val="18"/>
                          </w:rPr>
                        </w:pPr>
                        <w:r w:rsidRPr="001B476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B4767" w:rsidRPr="001B4767" w:rsidRDefault="001B4767" w:rsidP="001B4767">
                        <w:pPr>
                          <w:tabs>
                            <w:tab w:val="left" w:pos="566"/>
                          </w:tabs>
                          <w:spacing w:after="0" w:line="240" w:lineRule="exact"/>
                          <w:jc w:val="center"/>
                          <w:rPr>
                            <w:rFonts w:ascii="Times New Roman" w:eastAsia="Times New Roman" w:hAnsi="Times New Roman" w:cs="Times New Roman"/>
                            <w:b/>
                            <w:sz w:val="18"/>
                            <w:szCs w:val="18"/>
                          </w:rPr>
                        </w:pPr>
                        <w:r w:rsidRPr="001B4767">
                          <w:rPr>
                            <w:rFonts w:ascii="Times New Roman" w:eastAsia="Times New Roman" w:hAnsi="Times New Roman" w:cs="Times New Roman"/>
                            <w:b/>
                            <w:sz w:val="18"/>
                            <w:szCs w:val="18"/>
                          </w:rPr>
                          <w:t>Sayısı</w:t>
                        </w:r>
                      </w:p>
                    </w:tc>
                  </w:tr>
                  <w:tr w:rsidR="001B4767" w:rsidRPr="001B4767">
                    <w:trPr>
                      <w:jc w:val="center"/>
                    </w:trPr>
                    <w:tc>
                      <w:tcPr>
                        <w:tcW w:w="4254" w:type="dxa"/>
                        <w:tcBorders>
                          <w:top w:val="single" w:sz="4" w:space="0" w:color="auto"/>
                          <w:left w:val="single" w:sz="4" w:space="0" w:color="auto"/>
                          <w:bottom w:val="single" w:sz="4" w:space="0" w:color="auto"/>
                          <w:right w:val="single" w:sz="4" w:space="0" w:color="auto"/>
                        </w:tcBorders>
                        <w:hideMark/>
                      </w:tcPr>
                      <w:p w:rsidR="001B4767" w:rsidRPr="001B4767" w:rsidRDefault="001B4767" w:rsidP="001B4767">
                        <w:pPr>
                          <w:tabs>
                            <w:tab w:val="left" w:pos="566"/>
                          </w:tabs>
                          <w:spacing w:after="0" w:line="240" w:lineRule="exact"/>
                          <w:jc w:val="center"/>
                          <w:rPr>
                            <w:rFonts w:ascii="Times New Roman" w:eastAsia="Times New Roman" w:hAnsi="Times New Roman" w:cs="Times New Roman"/>
                            <w:sz w:val="18"/>
                            <w:szCs w:val="18"/>
                          </w:rPr>
                        </w:pPr>
                        <w:proofErr w:type="gramStart"/>
                        <w:r w:rsidRPr="001B4767">
                          <w:rPr>
                            <w:rFonts w:ascii="Times New Roman" w:eastAsia="Times New Roman" w:hAnsi="Times New Roman" w:cs="Times New Roman"/>
                            <w:sz w:val="18"/>
                            <w:szCs w:val="18"/>
                          </w:rPr>
                          <w:t>2/4/2015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B4767" w:rsidRPr="001B4767" w:rsidRDefault="001B4767" w:rsidP="001B4767">
                        <w:pPr>
                          <w:tabs>
                            <w:tab w:val="left" w:pos="566"/>
                          </w:tabs>
                          <w:spacing w:after="0" w:line="240" w:lineRule="exact"/>
                          <w:jc w:val="center"/>
                          <w:rPr>
                            <w:rFonts w:ascii="Times New Roman" w:eastAsia="Times New Roman" w:hAnsi="Times New Roman" w:cs="Times New Roman"/>
                            <w:sz w:val="18"/>
                            <w:szCs w:val="18"/>
                          </w:rPr>
                        </w:pPr>
                        <w:r w:rsidRPr="001B4767">
                          <w:rPr>
                            <w:rFonts w:ascii="Times New Roman" w:eastAsia="Times New Roman" w:hAnsi="Times New Roman" w:cs="Times New Roman"/>
                            <w:sz w:val="18"/>
                            <w:szCs w:val="18"/>
                          </w:rPr>
                          <w:t>29314</w:t>
                        </w:r>
                      </w:p>
                    </w:tc>
                  </w:tr>
                </w:tbl>
                <w:p w:rsidR="001B4767" w:rsidRPr="001B4767" w:rsidRDefault="001B4767" w:rsidP="001B4767">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1B4767" w:rsidRPr="001B4767" w:rsidRDefault="001B4767" w:rsidP="001B476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B4767" w:rsidRPr="001B4767" w:rsidRDefault="001B4767" w:rsidP="001B4767">
            <w:pPr>
              <w:spacing w:after="0" w:line="240" w:lineRule="auto"/>
              <w:jc w:val="center"/>
              <w:rPr>
                <w:rFonts w:ascii="Times New Roman" w:eastAsia="Times New Roman" w:hAnsi="Times New Roman" w:cs="Times New Roman"/>
                <w:sz w:val="20"/>
                <w:szCs w:val="20"/>
                <w:lang w:eastAsia="tr-TR"/>
              </w:rPr>
            </w:pPr>
          </w:p>
        </w:tc>
      </w:tr>
    </w:tbl>
    <w:p w:rsidR="001B4767" w:rsidRPr="001B4767" w:rsidRDefault="001B4767" w:rsidP="001B4767">
      <w:pPr>
        <w:spacing w:after="0" w:line="240" w:lineRule="auto"/>
        <w:jc w:val="center"/>
        <w:rPr>
          <w:rFonts w:ascii="Times New Roman" w:eastAsia="Times New Roman" w:hAnsi="Times New Roman" w:cs="Times New Roman"/>
          <w:sz w:val="24"/>
          <w:szCs w:val="24"/>
          <w:lang w:eastAsia="tr-TR"/>
        </w:rPr>
      </w:pPr>
    </w:p>
    <w:p w:rsidR="003062F0" w:rsidRDefault="003062F0"/>
    <w:sectPr w:rsidR="003062F0" w:rsidSect="003062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1B4767"/>
    <w:rsid w:val="001B4767"/>
    <w:rsid w:val="003062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B47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B476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B476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1B476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1B476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53275006">
      <w:bodyDiv w:val="1"/>
      <w:marLeft w:val="0"/>
      <w:marRight w:val="0"/>
      <w:marTop w:val="0"/>
      <w:marBottom w:val="0"/>
      <w:divBdr>
        <w:top w:val="none" w:sz="0" w:space="0" w:color="auto"/>
        <w:left w:val="none" w:sz="0" w:space="0" w:color="auto"/>
        <w:bottom w:val="none" w:sz="0" w:space="0" w:color="auto"/>
        <w:right w:val="none" w:sz="0" w:space="0" w:color="auto"/>
      </w:divBdr>
      <w:divsChild>
        <w:div w:id="620187648">
          <w:marLeft w:val="0"/>
          <w:marRight w:val="0"/>
          <w:marTop w:val="0"/>
          <w:marBottom w:val="0"/>
          <w:divBdr>
            <w:top w:val="none" w:sz="0" w:space="0" w:color="auto"/>
            <w:left w:val="none" w:sz="0" w:space="0" w:color="auto"/>
            <w:bottom w:val="none" w:sz="0" w:space="0" w:color="auto"/>
            <w:right w:val="none" w:sz="0" w:space="0" w:color="auto"/>
          </w:divBdr>
          <w:divsChild>
            <w:div w:id="1881741668">
              <w:marLeft w:val="0"/>
              <w:marRight w:val="0"/>
              <w:marTop w:val="0"/>
              <w:marBottom w:val="0"/>
              <w:divBdr>
                <w:top w:val="none" w:sz="0" w:space="0" w:color="auto"/>
                <w:left w:val="none" w:sz="0" w:space="0" w:color="auto"/>
                <w:bottom w:val="none" w:sz="0" w:space="0" w:color="auto"/>
                <w:right w:val="none" w:sz="0" w:space="0" w:color="auto"/>
              </w:divBdr>
              <w:divsChild>
                <w:div w:id="2092388407">
                  <w:marLeft w:val="0"/>
                  <w:marRight w:val="0"/>
                  <w:marTop w:val="0"/>
                  <w:marBottom w:val="0"/>
                  <w:divBdr>
                    <w:top w:val="none" w:sz="0" w:space="0" w:color="auto"/>
                    <w:left w:val="none" w:sz="0" w:space="0" w:color="auto"/>
                    <w:bottom w:val="none" w:sz="0" w:space="0" w:color="auto"/>
                    <w:right w:val="none" w:sz="0" w:space="0" w:color="auto"/>
                  </w:divBdr>
                  <w:divsChild>
                    <w:div w:id="6939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2015-10-23T05:54:00Z</dcterms:created>
  <dcterms:modified xsi:type="dcterms:W3CDTF">2015-10-23T05:54:00Z</dcterms:modified>
</cp:coreProperties>
</file>