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2F63E0" w:rsidRPr="002F63E0" w:rsidTr="002F63E0">
        <w:trPr>
          <w:jc w:val="center"/>
        </w:trPr>
        <w:tc>
          <w:tcPr>
            <w:tcW w:w="9104" w:type="dxa"/>
            <w:hideMark/>
          </w:tcPr>
          <w:tbl>
            <w:tblPr>
              <w:tblW w:w="8789" w:type="dxa"/>
              <w:jc w:val="center"/>
              <w:tblLook w:val="01E0"/>
            </w:tblPr>
            <w:tblGrid>
              <w:gridCol w:w="2931"/>
              <w:gridCol w:w="2931"/>
              <w:gridCol w:w="2927"/>
            </w:tblGrid>
            <w:tr w:rsidR="002F63E0" w:rsidRPr="002F63E0">
              <w:trPr>
                <w:trHeight w:val="317"/>
                <w:jc w:val="center"/>
              </w:trPr>
              <w:tc>
                <w:tcPr>
                  <w:tcW w:w="2931" w:type="dxa"/>
                  <w:tcBorders>
                    <w:top w:val="nil"/>
                    <w:left w:val="nil"/>
                    <w:bottom w:val="single" w:sz="4" w:space="0" w:color="660066"/>
                    <w:right w:val="nil"/>
                  </w:tcBorders>
                  <w:vAlign w:val="center"/>
                  <w:hideMark/>
                </w:tcPr>
                <w:p w:rsidR="002F63E0" w:rsidRPr="002F63E0" w:rsidRDefault="002F63E0" w:rsidP="002F63E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F63E0">
                    <w:rPr>
                      <w:rFonts w:ascii="Arial" w:eastAsia="Times New Roman" w:hAnsi="Arial" w:cs="Arial"/>
                      <w:sz w:val="16"/>
                      <w:szCs w:val="16"/>
                      <w:lang w:eastAsia="tr-TR"/>
                    </w:rPr>
                    <w:t>25 Aralık 2015 CUMA</w:t>
                  </w:r>
                </w:p>
              </w:tc>
              <w:tc>
                <w:tcPr>
                  <w:tcW w:w="2931" w:type="dxa"/>
                  <w:tcBorders>
                    <w:top w:val="nil"/>
                    <w:left w:val="nil"/>
                    <w:bottom w:val="single" w:sz="4" w:space="0" w:color="660066"/>
                    <w:right w:val="nil"/>
                  </w:tcBorders>
                  <w:vAlign w:val="center"/>
                  <w:hideMark/>
                </w:tcPr>
                <w:p w:rsidR="002F63E0" w:rsidRPr="002F63E0" w:rsidRDefault="002F63E0" w:rsidP="002F63E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F63E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F63E0" w:rsidRPr="002F63E0" w:rsidRDefault="002F63E0" w:rsidP="002F63E0">
                  <w:pPr>
                    <w:spacing w:before="100" w:beforeAutospacing="1" w:after="100" w:afterAutospacing="1" w:line="240" w:lineRule="auto"/>
                    <w:jc w:val="right"/>
                    <w:rPr>
                      <w:rFonts w:ascii="Arial" w:eastAsia="Times New Roman" w:hAnsi="Arial" w:cs="Arial"/>
                      <w:sz w:val="16"/>
                      <w:szCs w:val="16"/>
                      <w:lang w:eastAsia="tr-TR"/>
                    </w:rPr>
                  </w:pPr>
                  <w:proofErr w:type="gramStart"/>
                  <w:r w:rsidRPr="002F63E0">
                    <w:rPr>
                      <w:rFonts w:ascii="Arial" w:eastAsia="Times New Roman" w:hAnsi="Arial" w:cs="Arial"/>
                      <w:sz w:val="16"/>
                      <w:szCs w:val="16"/>
                      <w:lang w:eastAsia="tr-TR"/>
                    </w:rPr>
                    <w:t>Sayı : 29573</w:t>
                  </w:r>
                  <w:proofErr w:type="gramEnd"/>
                </w:p>
              </w:tc>
            </w:tr>
            <w:tr w:rsidR="002F63E0" w:rsidRPr="002F63E0">
              <w:trPr>
                <w:trHeight w:val="480"/>
                <w:jc w:val="center"/>
              </w:trPr>
              <w:tc>
                <w:tcPr>
                  <w:tcW w:w="8789" w:type="dxa"/>
                  <w:gridSpan w:val="3"/>
                  <w:vAlign w:val="center"/>
                  <w:hideMark/>
                </w:tcPr>
                <w:p w:rsidR="002F63E0" w:rsidRPr="002F63E0" w:rsidRDefault="002F63E0" w:rsidP="002F63E0">
                  <w:pPr>
                    <w:spacing w:before="100" w:beforeAutospacing="1" w:after="100" w:afterAutospacing="1" w:line="240" w:lineRule="auto"/>
                    <w:jc w:val="center"/>
                    <w:rPr>
                      <w:rFonts w:ascii="Arial" w:eastAsia="Times New Roman" w:hAnsi="Arial" w:cs="Arial"/>
                      <w:b/>
                      <w:color w:val="000080"/>
                      <w:sz w:val="18"/>
                      <w:szCs w:val="18"/>
                      <w:lang w:eastAsia="tr-TR"/>
                    </w:rPr>
                  </w:pPr>
                  <w:r w:rsidRPr="002F63E0">
                    <w:rPr>
                      <w:rFonts w:ascii="Arial" w:eastAsia="Times New Roman" w:hAnsi="Arial" w:cs="Arial"/>
                      <w:b/>
                      <w:color w:val="000080"/>
                      <w:sz w:val="18"/>
                      <w:szCs w:val="18"/>
                      <w:lang w:eastAsia="tr-TR"/>
                    </w:rPr>
                    <w:t>TEBLİĞ</w:t>
                  </w:r>
                </w:p>
              </w:tc>
            </w:tr>
            <w:tr w:rsidR="002F63E0" w:rsidRPr="002F63E0">
              <w:trPr>
                <w:trHeight w:val="480"/>
                <w:jc w:val="center"/>
              </w:trPr>
              <w:tc>
                <w:tcPr>
                  <w:tcW w:w="8789" w:type="dxa"/>
                  <w:gridSpan w:val="3"/>
                  <w:vAlign w:val="center"/>
                </w:tcPr>
                <w:p w:rsidR="002F63E0" w:rsidRPr="002F63E0" w:rsidRDefault="002F63E0" w:rsidP="002F63E0">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2F63E0">
                    <w:rPr>
                      <w:rFonts w:ascii="Times New Roman" w:eastAsia="Times New Roman" w:hAnsi="Times New Roman" w:cs="Times New Roman"/>
                      <w:sz w:val="18"/>
                      <w:szCs w:val="18"/>
                      <w:u w:val="single"/>
                      <w:lang w:eastAsia="tr-TR"/>
                    </w:rPr>
                    <w:t>Maliye Bakanlığı (Gelir İdaresi Başkanlığı)’</w:t>
                  </w:r>
                  <w:proofErr w:type="spellStart"/>
                  <w:r w:rsidRPr="002F63E0">
                    <w:rPr>
                      <w:rFonts w:ascii="Times New Roman" w:eastAsia="Times New Roman" w:hAnsi="Times New Roman" w:cs="Times New Roman"/>
                      <w:sz w:val="18"/>
                      <w:szCs w:val="18"/>
                      <w:u w:val="single"/>
                      <w:lang w:eastAsia="tr-TR"/>
                    </w:rPr>
                    <w:t>ndan</w:t>
                  </w:r>
                  <w:proofErr w:type="spellEnd"/>
                  <w:r w:rsidRPr="002F63E0">
                    <w:rPr>
                      <w:rFonts w:ascii="Times New Roman" w:eastAsia="Times New Roman" w:hAnsi="Times New Roman" w:cs="Times New Roman"/>
                      <w:sz w:val="18"/>
                      <w:szCs w:val="18"/>
                      <w:u w:val="single"/>
                      <w:lang w:eastAsia="tr-TR"/>
                    </w:rPr>
                    <w:t xml:space="preserve">: </w:t>
                  </w:r>
                </w:p>
                <w:p w:rsidR="002F63E0" w:rsidRPr="002F63E0" w:rsidRDefault="002F63E0" w:rsidP="002F63E0">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2F63E0">
                    <w:rPr>
                      <w:rFonts w:ascii="Times New Roman" w:eastAsia="Times New Roman" w:hAnsi="Times New Roman" w:cs="Times New Roman"/>
                      <w:b/>
                      <w:bCs/>
                      <w:sz w:val="18"/>
                      <w:szCs w:val="18"/>
                      <w:lang w:eastAsia="tr-TR"/>
                    </w:rPr>
                    <w:t>DAMGA VERGİSİ KANUNU GENEL TEBLİĞİ</w:t>
                  </w:r>
                </w:p>
                <w:p w:rsidR="002F63E0" w:rsidRPr="002F63E0" w:rsidRDefault="002F63E0" w:rsidP="002F63E0">
                  <w:pPr>
                    <w:tabs>
                      <w:tab w:val="left" w:pos="566"/>
                    </w:tabs>
                    <w:spacing w:after="170" w:line="240" w:lineRule="exact"/>
                    <w:jc w:val="center"/>
                    <w:rPr>
                      <w:rFonts w:ascii="Times New Roman" w:eastAsia="Times New Roman" w:hAnsi="Times New Roman" w:cs="Times New Roman"/>
                      <w:b/>
                      <w:bCs/>
                      <w:sz w:val="18"/>
                      <w:szCs w:val="18"/>
                      <w:lang w:eastAsia="tr-TR"/>
                    </w:rPr>
                  </w:pPr>
                  <w:r w:rsidRPr="002F63E0">
                    <w:rPr>
                      <w:rFonts w:ascii="Times New Roman" w:eastAsia="Times New Roman" w:hAnsi="Times New Roman" w:cs="Times New Roman"/>
                      <w:b/>
                      <w:bCs/>
                      <w:sz w:val="18"/>
                      <w:szCs w:val="18"/>
                      <w:lang w:eastAsia="tr-TR"/>
                    </w:rPr>
                    <w:t>(SERİ NO: 59)</w:t>
                  </w:r>
                </w:p>
                <w:p w:rsidR="002F63E0" w:rsidRPr="002F63E0" w:rsidRDefault="002F63E0" w:rsidP="002F63E0">
                  <w:pPr>
                    <w:spacing w:before="100" w:beforeAutospacing="1" w:after="100" w:afterAutospacing="1" w:line="240" w:lineRule="exact"/>
                    <w:rPr>
                      <w:rFonts w:ascii="Times New Roman" w:eastAsia="Times New Roman" w:hAnsi="Times New Roman" w:cs="Times New Roman"/>
                      <w:sz w:val="18"/>
                      <w:szCs w:val="18"/>
                      <w:lang w:eastAsia="tr-TR"/>
                    </w:rPr>
                  </w:pPr>
                  <w:r w:rsidRPr="002F63E0">
                    <w:rPr>
                      <w:rFonts w:ascii="Times New Roman" w:eastAsia="Times New Roman" w:hAnsi="Times New Roman" w:cs="Times New Roman"/>
                      <w:sz w:val="18"/>
                      <w:szCs w:val="18"/>
                      <w:lang w:eastAsia="tr-TR"/>
                    </w:rPr>
                    <w:t xml:space="preserve">1/7/1964 tarihli ve 488 sayılı Damga Vergisi Kanununun mükerrer 30 uncu maddesinin birinci fıkrasında, “...Her takvim yılı başından geçerli olmak üzere önceki yılda uygulanan maktu vergiler (Maktu ve nispi vergilerin asgari ve azami miktarlarını belirleyen hadler </w:t>
                  </w:r>
                  <w:proofErr w:type="gramStart"/>
                  <w:r w:rsidRPr="002F63E0">
                    <w:rPr>
                      <w:rFonts w:ascii="Times New Roman" w:eastAsia="Times New Roman" w:hAnsi="Times New Roman" w:cs="Times New Roman"/>
                      <w:sz w:val="18"/>
                      <w:szCs w:val="18"/>
                      <w:lang w:eastAsia="tr-TR"/>
                    </w:rPr>
                    <w:t>dahil</w:t>
                  </w:r>
                  <w:proofErr w:type="gramEnd"/>
                  <w:r w:rsidRPr="002F63E0">
                    <w:rPr>
                      <w:rFonts w:ascii="Times New Roman" w:eastAsia="Times New Roman" w:hAnsi="Times New Roman" w:cs="Times New Roman"/>
                      <w:sz w:val="18"/>
                      <w:szCs w:val="18"/>
                      <w:lang w:eastAsia="tr-TR"/>
                    </w:rPr>
                    <w:t>) o yıl için tespit ve ilan olunan yeniden değerleme oranında artırılır. Bu suretle hesaplanan vergi tutarlarının 10 Yeni Kuruşa kadarki kesirleri dikkate alınmaz.”, 14 üncü maddesinin birinci fıkrasında ise, “</w:t>
                  </w:r>
                  <w:proofErr w:type="gramStart"/>
                  <w:r w:rsidRPr="002F63E0">
                    <w:rPr>
                      <w:rFonts w:ascii="Times New Roman" w:eastAsia="Times New Roman" w:hAnsi="Times New Roman" w:cs="Times New Roman"/>
                      <w:sz w:val="18"/>
                      <w:szCs w:val="18"/>
                      <w:lang w:eastAsia="tr-TR"/>
                    </w:rPr>
                    <w:t>Kağıtların</w:t>
                  </w:r>
                  <w:proofErr w:type="gramEnd"/>
                  <w:r w:rsidRPr="002F63E0">
                    <w:rPr>
                      <w:rFonts w:ascii="Times New Roman" w:eastAsia="Times New Roman" w:hAnsi="Times New Roman" w:cs="Times New Roman"/>
                      <w:sz w:val="18"/>
                      <w:szCs w:val="18"/>
                      <w:lang w:eastAsia="tr-TR"/>
                    </w:rPr>
                    <w:t xml:space="preserve"> Damga Vergisi bu Kanuna ekli (1) sayılı tabloda yazılı nispet veya miktarlarda alınır. Şu kadar ki her bir </w:t>
                  </w:r>
                  <w:proofErr w:type="gramStart"/>
                  <w:r w:rsidRPr="002F63E0">
                    <w:rPr>
                      <w:rFonts w:ascii="Times New Roman" w:eastAsia="Times New Roman" w:hAnsi="Times New Roman" w:cs="Times New Roman"/>
                      <w:sz w:val="18"/>
                      <w:szCs w:val="18"/>
                      <w:lang w:eastAsia="tr-TR"/>
                    </w:rPr>
                    <w:t>kağıt</w:t>
                  </w:r>
                  <w:proofErr w:type="gramEnd"/>
                  <w:r w:rsidRPr="002F63E0">
                    <w:rPr>
                      <w:rFonts w:ascii="Times New Roman" w:eastAsia="Times New Roman" w:hAnsi="Times New Roman" w:cs="Times New Roman"/>
                      <w:sz w:val="18"/>
                      <w:szCs w:val="18"/>
                      <w:lang w:eastAsia="tr-TR"/>
                    </w:rPr>
                    <w:t xml:space="preserve"> için hesaplanacak vergi tutarı (1) sayılı tabloda yer alan sınırlamalar saklı kalmak üzere 800 bin Yeni Türk lirasını aşamaz. Bir önceki yılda uygulanan bu azami tutar, her takvim yılı başından geçerli olmak üzere, o yıl için tespit ve ilan olunan yeniden değerleme oranında artırılır.” hükmü yer almıştır. </w:t>
                  </w:r>
                </w:p>
                <w:p w:rsidR="002F63E0" w:rsidRPr="002F63E0" w:rsidRDefault="002F63E0" w:rsidP="002F63E0">
                  <w:pPr>
                    <w:spacing w:before="100" w:beforeAutospacing="1" w:after="100" w:afterAutospacing="1" w:line="240" w:lineRule="exact"/>
                    <w:rPr>
                      <w:rFonts w:ascii="Times New Roman" w:eastAsia="Times New Roman" w:hAnsi="Times New Roman" w:cs="Times New Roman"/>
                      <w:sz w:val="18"/>
                      <w:szCs w:val="18"/>
                      <w:lang w:eastAsia="tr-TR"/>
                    </w:rPr>
                  </w:pPr>
                  <w:r w:rsidRPr="002F63E0">
                    <w:rPr>
                      <w:rFonts w:ascii="Times New Roman" w:eastAsia="Times New Roman" w:hAnsi="Times New Roman" w:cs="Times New Roman"/>
                      <w:sz w:val="18"/>
                      <w:szCs w:val="18"/>
                      <w:lang w:eastAsia="tr-TR"/>
                    </w:rPr>
                    <w:t xml:space="preserve">Bakanlığımızca 2015 yılı için yeniden değerleme oranı % 5,58 (beş virgül </w:t>
                  </w:r>
                  <w:proofErr w:type="spellStart"/>
                  <w:r w:rsidRPr="002F63E0">
                    <w:rPr>
                      <w:rFonts w:ascii="Times New Roman" w:eastAsia="Times New Roman" w:hAnsi="Times New Roman" w:cs="Times New Roman"/>
                      <w:sz w:val="18"/>
                      <w:szCs w:val="18"/>
                      <w:lang w:eastAsia="tr-TR"/>
                    </w:rPr>
                    <w:t>ellisekiz</w:t>
                  </w:r>
                  <w:proofErr w:type="spellEnd"/>
                  <w:r w:rsidRPr="002F63E0">
                    <w:rPr>
                      <w:rFonts w:ascii="Times New Roman" w:eastAsia="Times New Roman" w:hAnsi="Times New Roman" w:cs="Times New Roman"/>
                      <w:sz w:val="18"/>
                      <w:szCs w:val="18"/>
                      <w:lang w:eastAsia="tr-TR"/>
                    </w:rPr>
                    <w:t xml:space="preserve">) olarak tespit edilmiş ve </w:t>
                  </w:r>
                  <w:proofErr w:type="gramStart"/>
                  <w:r w:rsidRPr="002F63E0">
                    <w:rPr>
                      <w:rFonts w:ascii="Times New Roman" w:eastAsia="Times New Roman" w:hAnsi="Times New Roman" w:cs="Times New Roman"/>
                      <w:sz w:val="18"/>
                      <w:szCs w:val="18"/>
                      <w:lang w:eastAsia="tr-TR"/>
                    </w:rPr>
                    <w:t>10/11/2015</w:t>
                  </w:r>
                  <w:proofErr w:type="gramEnd"/>
                  <w:r w:rsidRPr="002F63E0">
                    <w:rPr>
                      <w:rFonts w:ascii="Times New Roman" w:eastAsia="Times New Roman" w:hAnsi="Times New Roman" w:cs="Times New Roman"/>
                      <w:sz w:val="18"/>
                      <w:szCs w:val="18"/>
                      <w:lang w:eastAsia="tr-TR"/>
                    </w:rPr>
                    <w:t xml:space="preserve"> tarihli ve 29528 sayılı Resmî Gazete’de yayımlanan 457 Sıra </w:t>
                  </w:r>
                  <w:proofErr w:type="spellStart"/>
                  <w:r w:rsidRPr="002F63E0">
                    <w:rPr>
                      <w:rFonts w:ascii="Times New Roman" w:eastAsia="Times New Roman" w:hAnsi="Times New Roman" w:cs="Times New Roman"/>
                      <w:sz w:val="18"/>
                      <w:szCs w:val="18"/>
                      <w:lang w:eastAsia="tr-TR"/>
                    </w:rPr>
                    <w:t>No’lu</w:t>
                  </w:r>
                  <w:proofErr w:type="spellEnd"/>
                  <w:r w:rsidRPr="002F63E0">
                    <w:rPr>
                      <w:rFonts w:ascii="Times New Roman" w:eastAsia="Times New Roman" w:hAnsi="Times New Roman" w:cs="Times New Roman"/>
                      <w:sz w:val="18"/>
                      <w:szCs w:val="18"/>
                      <w:lang w:eastAsia="tr-TR"/>
                    </w:rPr>
                    <w:t xml:space="preserve"> Vergi Usul Kanunu Genel Tebliği ile ilan edilmiş bulunmaktadır. </w:t>
                  </w:r>
                </w:p>
                <w:p w:rsidR="002F63E0" w:rsidRPr="002F63E0" w:rsidRDefault="002F63E0" w:rsidP="002F63E0">
                  <w:pPr>
                    <w:spacing w:before="100" w:beforeAutospacing="1" w:after="100" w:afterAutospacing="1" w:line="240" w:lineRule="exact"/>
                    <w:rPr>
                      <w:rFonts w:ascii="Times New Roman" w:eastAsia="Times New Roman" w:hAnsi="Times New Roman" w:cs="Times New Roman"/>
                      <w:sz w:val="18"/>
                      <w:szCs w:val="18"/>
                      <w:lang w:eastAsia="tr-TR"/>
                    </w:rPr>
                  </w:pPr>
                  <w:r w:rsidRPr="002F63E0">
                    <w:rPr>
                      <w:rFonts w:ascii="Times New Roman" w:eastAsia="Times New Roman" w:hAnsi="Times New Roman" w:cs="Times New Roman"/>
                      <w:sz w:val="18"/>
                      <w:szCs w:val="18"/>
                      <w:lang w:eastAsia="tr-TR"/>
                    </w:rPr>
                    <w:t xml:space="preserve">Buna göre, 488 sayılı Kanunun mükerrer 30 uncu maddesinin birinci fıkrası hükmü gereğince, Kanuna ekli (1) sayılı tabloda yer alan ve 58 Seri </w:t>
                  </w:r>
                  <w:proofErr w:type="spellStart"/>
                  <w:r w:rsidRPr="002F63E0">
                    <w:rPr>
                      <w:rFonts w:ascii="Times New Roman" w:eastAsia="Times New Roman" w:hAnsi="Times New Roman" w:cs="Times New Roman"/>
                      <w:sz w:val="18"/>
                      <w:szCs w:val="18"/>
                      <w:lang w:eastAsia="tr-TR"/>
                    </w:rPr>
                    <w:t>No’lu</w:t>
                  </w:r>
                  <w:proofErr w:type="spellEnd"/>
                  <w:r w:rsidRPr="002F63E0">
                    <w:rPr>
                      <w:rFonts w:ascii="Times New Roman" w:eastAsia="Times New Roman" w:hAnsi="Times New Roman" w:cs="Times New Roman"/>
                      <w:sz w:val="18"/>
                      <w:szCs w:val="18"/>
                      <w:lang w:eastAsia="tr-TR"/>
                    </w:rPr>
                    <w:t xml:space="preserve"> Damga Vergisi Kanunu Genel Tebliği ile tespit edilen maktu vergiler, (maktu ve nispi vergilerin asgari ve azami miktarlarını belirleyen hadler </w:t>
                  </w:r>
                  <w:proofErr w:type="gramStart"/>
                  <w:r w:rsidRPr="002F63E0">
                    <w:rPr>
                      <w:rFonts w:ascii="Times New Roman" w:eastAsia="Times New Roman" w:hAnsi="Times New Roman" w:cs="Times New Roman"/>
                      <w:sz w:val="18"/>
                      <w:szCs w:val="18"/>
                      <w:lang w:eastAsia="tr-TR"/>
                    </w:rPr>
                    <w:t>dahil</w:t>
                  </w:r>
                  <w:proofErr w:type="gramEnd"/>
                  <w:r w:rsidRPr="002F63E0">
                    <w:rPr>
                      <w:rFonts w:ascii="Times New Roman" w:eastAsia="Times New Roman" w:hAnsi="Times New Roman" w:cs="Times New Roman"/>
                      <w:sz w:val="18"/>
                      <w:szCs w:val="18"/>
                      <w:lang w:eastAsia="tr-TR"/>
                    </w:rPr>
                    <w:t>), yeniden değerleme oranında artırılmış ve 1/1/2016 tarihinden itibaren uygulanacak miktarları Tebliğ ekindeki (1) sayılı tabloda gösterilmiştir.</w:t>
                  </w:r>
                </w:p>
                <w:p w:rsidR="002F63E0" w:rsidRPr="002F63E0" w:rsidRDefault="002F63E0" w:rsidP="002F63E0">
                  <w:pPr>
                    <w:spacing w:before="100" w:beforeAutospacing="1" w:after="100" w:afterAutospacing="1" w:line="240" w:lineRule="exact"/>
                    <w:rPr>
                      <w:rFonts w:ascii="Times New Roman" w:eastAsia="Times New Roman" w:hAnsi="Times New Roman" w:cs="Times New Roman"/>
                      <w:sz w:val="18"/>
                      <w:szCs w:val="18"/>
                      <w:lang w:eastAsia="tr-TR"/>
                    </w:rPr>
                  </w:pPr>
                  <w:r w:rsidRPr="002F63E0">
                    <w:rPr>
                      <w:rFonts w:ascii="Times New Roman" w:eastAsia="Times New Roman" w:hAnsi="Times New Roman" w:cs="Times New Roman"/>
                      <w:sz w:val="18"/>
                      <w:szCs w:val="18"/>
                      <w:lang w:eastAsia="tr-TR"/>
                    </w:rPr>
                    <w:t xml:space="preserve">Diğer taraftan, anılan Kanunun 14 üncü maddesinin birinci fıkrasında yer alan her bir kağıttan alınacak damga vergisine ilişkin üst sınır yeniden değerleme oranında artırılmış ve </w:t>
                  </w:r>
                  <w:proofErr w:type="gramStart"/>
                  <w:r w:rsidRPr="002F63E0">
                    <w:rPr>
                      <w:rFonts w:ascii="Times New Roman" w:eastAsia="Times New Roman" w:hAnsi="Times New Roman" w:cs="Times New Roman"/>
                      <w:sz w:val="18"/>
                      <w:szCs w:val="18"/>
                      <w:lang w:eastAsia="tr-TR"/>
                    </w:rPr>
                    <w:t>1/1/2016</w:t>
                  </w:r>
                  <w:proofErr w:type="gramEnd"/>
                  <w:r w:rsidRPr="002F63E0">
                    <w:rPr>
                      <w:rFonts w:ascii="Times New Roman" w:eastAsia="Times New Roman" w:hAnsi="Times New Roman" w:cs="Times New Roman"/>
                      <w:sz w:val="18"/>
                      <w:szCs w:val="18"/>
                      <w:lang w:eastAsia="tr-TR"/>
                    </w:rPr>
                    <w:t xml:space="preserve"> tarihinden itibaren 1.797.117,30 Türk Lirası olmuştur.</w:t>
                  </w:r>
                </w:p>
                <w:p w:rsidR="002F63E0" w:rsidRPr="002F63E0" w:rsidRDefault="002F63E0" w:rsidP="002F63E0">
                  <w:pPr>
                    <w:spacing w:before="100" w:beforeAutospacing="1" w:after="100" w:afterAutospacing="1" w:line="240" w:lineRule="exact"/>
                    <w:rPr>
                      <w:rFonts w:ascii="Times New Roman" w:eastAsia="Times New Roman" w:hAnsi="Times New Roman" w:cs="Times New Roman"/>
                      <w:sz w:val="18"/>
                      <w:szCs w:val="18"/>
                      <w:lang w:eastAsia="tr-TR"/>
                    </w:rPr>
                  </w:pPr>
                  <w:r w:rsidRPr="002F63E0">
                    <w:rPr>
                      <w:rFonts w:ascii="Times New Roman" w:eastAsia="Times New Roman" w:hAnsi="Times New Roman" w:cs="Times New Roman"/>
                      <w:sz w:val="18"/>
                      <w:szCs w:val="18"/>
                      <w:lang w:eastAsia="tr-TR"/>
                    </w:rPr>
                    <w:t xml:space="preserve">Tebliğ olunur. </w:t>
                  </w:r>
                </w:p>
                <w:p w:rsidR="002F63E0" w:rsidRPr="002F63E0" w:rsidRDefault="002F63E0" w:rsidP="002F63E0">
                  <w:pPr>
                    <w:spacing w:before="100" w:beforeAutospacing="1" w:after="100" w:afterAutospacing="1" w:line="240" w:lineRule="exact"/>
                    <w:rPr>
                      <w:rFonts w:ascii="Times New Roman" w:eastAsia="Times New Roman" w:hAnsi="Times New Roman" w:cs="Times New Roman"/>
                      <w:sz w:val="18"/>
                      <w:szCs w:val="18"/>
                      <w:lang w:eastAsia="tr-TR"/>
                    </w:rPr>
                  </w:pPr>
                </w:p>
                <w:p w:rsidR="002F63E0" w:rsidRPr="002F63E0" w:rsidRDefault="002F63E0" w:rsidP="002F63E0">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2F63E0">
                      <w:rPr>
                        <w:rFonts w:ascii="Times New Roman" w:eastAsia="Times New Roman" w:hAnsi="Times New Roman" w:cs="Times New Roman"/>
                        <w:b/>
                        <w:bCs/>
                        <w:color w:val="0000FF"/>
                        <w:sz w:val="18"/>
                        <w:lang w:eastAsia="tr-TR"/>
                      </w:rPr>
                      <w:t>Eki için tıklayınız</w:t>
                    </w:r>
                  </w:hyperlink>
                </w:p>
                <w:p w:rsidR="002F63E0" w:rsidRPr="002F63E0" w:rsidRDefault="002F63E0" w:rsidP="002F63E0">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2F63E0" w:rsidRPr="002F63E0" w:rsidRDefault="002F63E0" w:rsidP="002F63E0">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2F63E0" w:rsidRPr="002F63E0" w:rsidRDefault="002F63E0" w:rsidP="002F63E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F63E0" w:rsidRPr="002F63E0" w:rsidRDefault="002F63E0" w:rsidP="002F63E0">
            <w:pPr>
              <w:spacing w:after="0" w:line="240" w:lineRule="auto"/>
              <w:jc w:val="center"/>
              <w:rPr>
                <w:rFonts w:ascii="Times New Roman" w:eastAsia="Times New Roman" w:hAnsi="Times New Roman" w:cs="Times New Roman"/>
                <w:sz w:val="20"/>
                <w:szCs w:val="20"/>
                <w:lang w:eastAsia="tr-TR"/>
              </w:rPr>
            </w:pPr>
          </w:p>
        </w:tc>
      </w:tr>
    </w:tbl>
    <w:p w:rsidR="002F63E0" w:rsidRPr="002F63E0" w:rsidRDefault="002F63E0" w:rsidP="002F63E0">
      <w:pPr>
        <w:spacing w:after="0" w:line="240" w:lineRule="auto"/>
        <w:jc w:val="center"/>
        <w:rPr>
          <w:rFonts w:ascii="Times New Roman" w:eastAsia="Times New Roman" w:hAnsi="Times New Roman" w:cs="Times New Roman"/>
          <w:sz w:val="24"/>
          <w:szCs w:val="24"/>
          <w:lang w:eastAsia="tr-TR"/>
        </w:rPr>
      </w:pPr>
    </w:p>
    <w:p w:rsidR="0060463D" w:rsidRDefault="0060463D"/>
    <w:sectPr w:rsidR="0060463D" w:rsidSect="006046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2F63E0"/>
    <w:rsid w:val="002F63E0"/>
    <w:rsid w:val="006046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6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2F63E0"/>
    <w:rPr>
      <w:color w:val="0000FF"/>
      <w:u w:val="single"/>
    </w:rPr>
  </w:style>
  <w:style w:type="paragraph" w:styleId="NormalWeb">
    <w:name w:val="Normal (Web)"/>
    <w:basedOn w:val="Normal"/>
    <w:rsid w:val="002F63E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2F63E0"/>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2F63E0"/>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2F63E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89274971">
      <w:bodyDiv w:val="1"/>
      <w:marLeft w:val="0"/>
      <w:marRight w:val="0"/>
      <w:marTop w:val="0"/>
      <w:marBottom w:val="0"/>
      <w:divBdr>
        <w:top w:val="none" w:sz="0" w:space="0" w:color="auto"/>
        <w:left w:val="none" w:sz="0" w:space="0" w:color="auto"/>
        <w:bottom w:val="none" w:sz="0" w:space="0" w:color="auto"/>
        <w:right w:val="none" w:sz="0" w:space="0" w:color="auto"/>
      </w:divBdr>
      <w:divsChild>
        <w:div w:id="1174028842">
          <w:marLeft w:val="0"/>
          <w:marRight w:val="0"/>
          <w:marTop w:val="0"/>
          <w:marBottom w:val="0"/>
          <w:divBdr>
            <w:top w:val="none" w:sz="0" w:space="0" w:color="auto"/>
            <w:left w:val="none" w:sz="0" w:space="0" w:color="auto"/>
            <w:bottom w:val="none" w:sz="0" w:space="0" w:color="auto"/>
            <w:right w:val="none" w:sz="0" w:space="0" w:color="auto"/>
          </w:divBdr>
          <w:divsChild>
            <w:div w:id="572357209">
              <w:marLeft w:val="0"/>
              <w:marRight w:val="0"/>
              <w:marTop w:val="0"/>
              <w:marBottom w:val="0"/>
              <w:divBdr>
                <w:top w:val="none" w:sz="0" w:space="0" w:color="auto"/>
                <w:left w:val="none" w:sz="0" w:space="0" w:color="auto"/>
                <w:bottom w:val="none" w:sz="0" w:space="0" w:color="auto"/>
                <w:right w:val="none" w:sz="0" w:space="0" w:color="auto"/>
              </w:divBdr>
              <w:divsChild>
                <w:div w:id="1595506080">
                  <w:marLeft w:val="0"/>
                  <w:marRight w:val="0"/>
                  <w:marTop w:val="0"/>
                  <w:marBottom w:val="0"/>
                  <w:divBdr>
                    <w:top w:val="none" w:sz="0" w:space="0" w:color="auto"/>
                    <w:left w:val="none" w:sz="0" w:space="0" w:color="auto"/>
                    <w:bottom w:val="none" w:sz="0" w:space="0" w:color="auto"/>
                    <w:right w:val="none" w:sz="0" w:space="0" w:color="auto"/>
                  </w:divBdr>
                  <w:divsChild>
                    <w:div w:id="5408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2/20151225-1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2015-12-25T07:01:00Z</dcterms:created>
  <dcterms:modified xsi:type="dcterms:W3CDTF">2015-12-25T07:01:00Z</dcterms:modified>
</cp:coreProperties>
</file>