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82ECE" w:rsidRPr="00082ECE" w:rsidTr="00082ECE">
        <w:trPr>
          <w:jc w:val="center"/>
        </w:trPr>
        <w:tc>
          <w:tcPr>
            <w:tcW w:w="9104" w:type="dxa"/>
            <w:hideMark/>
          </w:tcPr>
          <w:tbl>
            <w:tblPr>
              <w:tblW w:w="8789" w:type="dxa"/>
              <w:jc w:val="center"/>
              <w:tblLook w:val="01E0"/>
            </w:tblPr>
            <w:tblGrid>
              <w:gridCol w:w="2931"/>
              <w:gridCol w:w="2931"/>
              <w:gridCol w:w="2927"/>
            </w:tblGrid>
            <w:tr w:rsidR="00082ECE" w:rsidRPr="00082ECE">
              <w:trPr>
                <w:trHeight w:val="317"/>
                <w:jc w:val="center"/>
              </w:trPr>
              <w:tc>
                <w:tcPr>
                  <w:tcW w:w="2931" w:type="dxa"/>
                  <w:tcBorders>
                    <w:top w:val="nil"/>
                    <w:left w:val="nil"/>
                    <w:bottom w:val="single" w:sz="4" w:space="0" w:color="660066"/>
                    <w:right w:val="nil"/>
                  </w:tcBorders>
                  <w:vAlign w:val="center"/>
                  <w:hideMark/>
                </w:tcPr>
                <w:p w:rsidR="00082ECE" w:rsidRPr="00082ECE" w:rsidRDefault="00082ECE" w:rsidP="00082EC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82ECE">
                    <w:rPr>
                      <w:rFonts w:ascii="Arial" w:eastAsia="Times New Roman" w:hAnsi="Arial" w:cs="Arial"/>
                      <w:sz w:val="16"/>
                      <w:szCs w:val="16"/>
                      <w:lang w:eastAsia="tr-TR"/>
                    </w:rPr>
                    <w:t>20 Ocak 2016 ÇARŞAMBA</w:t>
                  </w:r>
                </w:p>
              </w:tc>
              <w:tc>
                <w:tcPr>
                  <w:tcW w:w="2931" w:type="dxa"/>
                  <w:tcBorders>
                    <w:top w:val="nil"/>
                    <w:left w:val="nil"/>
                    <w:bottom w:val="single" w:sz="4" w:space="0" w:color="660066"/>
                    <w:right w:val="nil"/>
                  </w:tcBorders>
                  <w:vAlign w:val="center"/>
                  <w:hideMark/>
                </w:tcPr>
                <w:p w:rsidR="00082ECE" w:rsidRPr="00082ECE" w:rsidRDefault="00082ECE" w:rsidP="00082EC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82EC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82ECE" w:rsidRPr="00082ECE" w:rsidRDefault="00082ECE" w:rsidP="00082ECE">
                  <w:pPr>
                    <w:spacing w:before="100" w:beforeAutospacing="1" w:after="100" w:afterAutospacing="1" w:line="240" w:lineRule="auto"/>
                    <w:jc w:val="right"/>
                    <w:rPr>
                      <w:rFonts w:ascii="Arial" w:eastAsia="Times New Roman" w:hAnsi="Arial" w:cs="Arial"/>
                      <w:sz w:val="16"/>
                      <w:szCs w:val="16"/>
                      <w:lang w:eastAsia="tr-TR"/>
                    </w:rPr>
                  </w:pPr>
                  <w:proofErr w:type="gramStart"/>
                  <w:r w:rsidRPr="00082ECE">
                    <w:rPr>
                      <w:rFonts w:ascii="Arial" w:eastAsia="Times New Roman" w:hAnsi="Arial" w:cs="Arial"/>
                      <w:sz w:val="16"/>
                      <w:szCs w:val="16"/>
                      <w:lang w:eastAsia="tr-TR"/>
                    </w:rPr>
                    <w:t>Sayı : 29599</w:t>
                  </w:r>
                  <w:proofErr w:type="gramEnd"/>
                </w:p>
              </w:tc>
            </w:tr>
            <w:tr w:rsidR="00082ECE" w:rsidRPr="00082ECE">
              <w:trPr>
                <w:trHeight w:val="480"/>
                <w:jc w:val="center"/>
              </w:trPr>
              <w:tc>
                <w:tcPr>
                  <w:tcW w:w="8789" w:type="dxa"/>
                  <w:gridSpan w:val="3"/>
                  <w:vAlign w:val="center"/>
                  <w:hideMark/>
                </w:tcPr>
                <w:p w:rsidR="00082ECE" w:rsidRPr="00082ECE" w:rsidRDefault="00082ECE" w:rsidP="00082ECE">
                  <w:pPr>
                    <w:spacing w:before="100" w:beforeAutospacing="1" w:after="100" w:afterAutospacing="1" w:line="240" w:lineRule="auto"/>
                    <w:jc w:val="center"/>
                    <w:rPr>
                      <w:rFonts w:ascii="Arial" w:eastAsia="Times New Roman" w:hAnsi="Arial" w:cs="Arial"/>
                      <w:b/>
                      <w:color w:val="000080"/>
                      <w:sz w:val="18"/>
                      <w:szCs w:val="18"/>
                      <w:lang w:eastAsia="tr-TR"/>
                    </w:rPr>
                  </w:pPr>
                  <w:r w:rsidRPr="00082ECE">
                    <w:rPr>
                      <w:rFonts w:ascii="Arial" w:eastAsia="Times New Roman" w:hAnsi="Arial" w:cs="Arial"/>
                      <w:b/>
                      <w:color w:val="000080"/>
                      <w:sz w:val="18"/>
                      <w:szCs w:val="18"/>
                      <w:lang w:eastAsia="tr-TR"/>
                    </w:rPr>
                    <w:t>TEBLİĞ</w:t>
                  </w:r>
                </w:p>
              </w:tc>
            </w:tr>
            <w:tr w:rsidR="00082ECE" w:rsidRPr="00082ECE">
              <w:trPr>
                <w:trHeight w:val="480"/>
                <w:jc w:val="center"/>
              </w:trPr>
              <w:tc>
                <w:tcPr>
                  <w:tcW w:w="8789" w:type="dxa"/>
                  <w:gridSpan w:val="3"/>
                  <w:vAlign w:val="center"/>
                  <w:hideMark/>
                </w:tcPr>
                <w:p w:rsidR="00082ECE" w:rsidRPr="00082ECE" w:rsidRDefault="00082ECE" w:rsidP="00082ECE">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82ECE">
                    <w:rPr>
                      <w:rFonts w:ascii="Times New Roman" w:eastAsia="Times New Roman" w:hAnsi="Times New Roman" w:cs="Times New Roman"/>
                      <w:sz w:val="18"/>
                      <w:szCs w:val="18"/>
                      <w:u w:val="single"/>
                      <w:lang w:eastAsia="tr-TR"/>
                    </w:rPr>
                    <w:t>Bankacılık Düzenleme ve Denetleme Kurumundan:</w:t>
                  </w:r>
                </w:p>
                <w:p w:rsidR="00082ECE" w:rsidRPr="00082ECE" w:rsidRDefault="00082ECE" w:rsidP="00082ECE">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082ECE">
                    <w:rPr>
                      <w:rFonts w:ascii="Times New Roman" w:eastAsia="Times New Roman" w:hAnsi="Times New Roman" w:cs="Times New Roman"/>
                      <w:b/>
                      <w:bCs/>
                      <w:sz w:val="18"/>
                      <w:szCs w:val="18"/>
                      <w:lang w:eastAsia="tr-TR"/>
                    </w:rPr>
                    <w:t xml:space="preserve">KREDİ RİSKİNE ESAS TUTARIN İÇSEL DERECELENDİRMEYE </w:t>
                  </w:r>
                </w:p>
                <w:p w:rsidR="00082ECE" w:rsidRPr="00082ECE" w:rsidRDefault="00082ECE" w:rsidP="00082ECE">
                  <w:pPr>
                    <w:tabs>
                      <w:tab w:val="left" w:pos="566"/>
                    </w:tabs>
                    <w:spacing w:after="0" w:line="240" w:lineRule="exact"/>
                    <w:jc w:val="center"/>
                    <w:rPr>
                      <w:rFonts w:ascii="Times New Roman" w:eastAsia="Times New Roman" w:hAnsi="Times New Roman" w:cs="Times New Roman"/>
                      <w:b/>
                      <w:bCs/>
                      <w:sz w:val="18"/>
                      <w:szCs w:val="18"/>
                      <w:lang w:eastAsia="tr-TR"/>
                    </w:rPr>
                  </w:pPr>
                  <w:r w:rsidRPr="00082ECE">
                    <w:rPr>
                      <w:rFonts w:ascii="Times New Roman" w:eastAsia="Times New Roman" w:hAnsi="Times New Roman" w:cs="Times New Roman"/>
                      <w:b/>
                      <w:bCs/>
                      <w:sz w:val="18"/>
                      <w:szCs w:val="18"/>
                      <w:lang w:eastAsia="tr-TR"/>
                    </w:rPr>
                    <w:t xml:space="preserve">DAYALI YAKLAŞIMLAR İLE HESAPLANMASINA İLİŞKİN </w:t>
                  </w:r>
                </w:p>
                <w:p w:rsidR="00082ECE" w:rsidRPr="00082ECE" w:rsidRDefault="00082ECE" w:rsidP="00082ECE">
                  <w:pPr>
                    <w:tabs>
                      <w:tab w:val="left" w:pos="566"/>
                    </w:tabs>
                    <w:spacing w:after="0" w:line="240" w:lineRule="exact"/>
                    <w:jc w:val="center"/>
                    <w:rPr>
                      <w:rFonts w:ascii="Times New Roman" w:eastAsia="Times New Roman" w:hAnsi="Times New Roman" w:cs="Times New Roman"/>
                      <w:b/>
                      <w:bCs/>
                      <w:sz w:val="18"/>
                      <w:szCs w:val="18"/>
                      <w:lang w:eastAsia="tr-TR"/>
                    </w:rPr>
                  </w:pPr>
                  <w:r w:rsidRPr="00082ECE">
                    <w:rPr>
                      <w:rFonts w:ascii="Times New Roman" w:eastAsia="Times New Roman" w:hAnsi="Times New Roman" w:cs="Times New Roman"/>
                      <w:b/>
                      <w:bCs/>
                      <w:sz w:val="18"/>
                      <w:szCs w:val="18"/>
                      <w:lang w:eastAsia="tr-TR"/>
                    </w:rPr>
                    <w:t xml:space="preserve">TEBLİĞDE DEĞİŞİKLİK YAPILMASINA </w:t>
                  </w:r>
                </w:p>
                <w:p w:rsidR="00082ECE" w:rsidRPr="00082ECE" w:rsidRDefault="00082ECE" w:rsidP="00082ECE">
                  <w:pPr>
                    <w:tabs>
                      <w:tab w:val="left" w:pos="566"/>
                    </w:tabs>
                    <w:spacing w:after="113" w:line="240" w:lineRule="exact"/>
                    <w:jc w:val="center"/>
                    <w:rPr>
                      <w:rFonts w:ascii="Times New Roman" w:eastAsia="Times New Roman" w:hAnsi="Times New Roman" w:cs="Times New Roman"/>
                      <w:b/>
                      <w:bCs/>
                      <w:sz w:val="18"/>
                      <w:szCs w:val="18"/>
                      <w:lang w:eastAsia="tr-TR"/>
                    </w:rPr>
                  </w:pPr>
                  <w:r w:rsidRPr="00082ECE">
                    <w:rPr>
                      <w:rFonts w:ascii="Times New Roman" w:eastAsia="Times New Roman" w:hAnsi="Times New Roman" w:cs="Times New Roman"/>
                      <w:b/>
                      <w:bCs/>
                      <w:sz w:val="18"/>
                      <w:szCs w:val="18"/>
                      <w:lang w:eastAsia="tr-TR"/>
                    </w:rPr>
                    <w:t>DAİR TEBLİĞ</w:t>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b/>
                      <w:bCs/>
                      <w:sz w:val="18"/>
                      <w:szCs w:val="18"/>
                      <w:lang w:eastAsia="tr-TR"/>
                    </w:rPr>
                    <w:t>MADDE 1 –</w:t>
                  </w:r>
                  <w:r w:rsidRPr="00082ECE">
                    <w:rPr>
                      <w:rFonts w:ascii="Times New Roman" w:eastAsia="Times New Roman" w:hAnsi="Times New Roman" w:cs="Times New Roman"/>
                      <w:sz w:val="18"/>
                      <w:szCs w:val="18"/>
                      <w:lang w:eastAsia="tr-TR"/>
                    </w:rPr>
                    <w:t xml:space="preserve"> </w:t>
                  </w:r>
                  <w:proofErr w:type="gramStart"/>
                  <w:r w:rsidRPr="00082ECE">
                    <w:rPr>
                      <w:rFonts w:ascii="Times New Roman" w:eastAsia="Times New Roman" w:hAnsi="Times New Roman" w:cs="Times New Roman"/>
                      <w:sz w:val="18"/>
                      <w:szCs w:val="18"/>
                      <w:lang w:eastAsia="tr-TR"/>
                    </w:rPr>
                    <w:t>23/10/2015</w:t>
                  </w:r>
                  <w:proofErr w:type="gramEnd"/>
                  <w:r w:rsidRPr="00082ECE">
                    <w:rPr>
                      <w:rFonts w:ascii="Times New Roman" w:eastAsia="Times New Roman" w:hAnsi="Times New Roman" w:cs="Times New Roman"/>
                      <w:sz w:val="18"/>
                      <w:szCs w:val="18"/>
                      <w:lang w:eastAsia="tr-TR"/>
                    </w:rPr>
                    <w:t xml:space="preserve"> tarihli ve 29511 sayılı Resmî Gazete’de yayımlanan Kredi Riskine Esas Tutarın İçsel Derecelendirmeye Dayalı Yaklaşımlar ile Hesaplanmasına İlişkin Tebliğin 6 </w:t>
                  </w:r>
                  <w:proofErr w:type="spellStart"/>
                  <w:r w:rsidRPr="00082ECE">
                    <w:rPr>
                      <w:rFonts w:ascii="Times New Roman" w:eastAsia="Times New Roman" w:hAnsi="Times New Roman" w:cs="Times New Roman"/>
                      <w:sz w:val="18"/>
                      <w:szCs w:val="18"/>
                      <w:lang w:eastAsia="tr-TR"/>
                    </w:rPr>
                    <w:t>ncı</w:t>
                  </w:r>
                  <w:proofErr w:type="spellEnd"/>
                  <w:r w:rsidRPr="00082ECE">
                    <w:rPr>
                      <w:rFonts w:ascii="Times New Roman" w:eastAsia="Times New Roman" w:hAnsi="Times New Roman" w:cs="Times New Roman"/>
                      <w:sz w:val="18"/>
                      <w:szCs w:val="18"/>
                      <w:lang w:eastAsia="tr-TR"/>
                    </w:rPr>
                    <w:t xml:space="preserve"> maddesinin </w:t>
                  </w:r>
                  <w:proofErr w:type="spellStart"/>
                  <w:r w:rsidRPr="00082ECE">
                    <w:rPr>
                      <w:rFonts w:ascii="Times New Roman" w:eastAsia="Times New Roman" w:hAnsi="Times New Roman" w:cs="Times New Roman"/>
                      <w:sz w:val="18"/>
                      <w:szCs w:val="18"/>
                      <w:lang w:eastAsia="tr-TR"/>
                    </w:rPr>
                    <w:t>ondördüncü</w:t>
                  </w:r>
                  <w:proofErr w:type="spellEnd"/>
                  <w:r w:rsidRPr="00082ECE">
                    <w:rPr>
                      <w:rFonts w:ascii="Times New Roman" w:eastAsia="Times New Roman" w:hAnsi="Times New Roman" w:cs="Times New Roman"/>
                      <w:sz w:val="18"/>
                      <w:szCs w:val="18"/>
                      <w:lang w:eastAsia="tr-TR"/>
                    </w:rPr>
                    <w:t xml:space="preserve"> fıkrası aşağıdaki şekilde değiştirilmiştir. </w:t>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sz w:val="18"/>
                      <w:szCs w:val="18"/>
                      <w:lang w:eastAsia="tr-TR"/>
                    </w:rPr>
                    <w:t xml:space="preserve">“(14) Kayıp oranlarındaki </w:t>
                  </w:r>
                  <w:proofErr w:type="gramStart"/>
                  <w:r w:rsidRPr="00082ECE">
                    <w:rPr>
                      <w:rFonts w:ascii="Times New Roman" w:eastAsia="Times New Roman" w:hAnsi="Times New Roman" w:cs="Times New Roman"/>
                      <w:sz w:val="18"/>
                      <w:szCs w:val="18"/>
                      <w:lang w:eastAsia="tr-TR"/>
                    </w:rPr>
                    <w:t>volatilitesi</w:t>
                  </w:r>
                  <w:proofErr w:type="gramEnd"/>
                  <w:r w:rsidRPr="00082ECE">
                    <w:rPr>
                      <w:rFonts w:ascii="Times New Roman" w:eastAsia="Times New Roman" w:hAnsi="Times New Roman" w:cs="Times New Roman"/>
                      <w:sz w:val="18"/>
                      <w:szCs w:val="18"/>
                      <w:lang w:eastAsia="tr-TR"/>
                    </w:rPr>
                    <w:t xml:space="preserve"> diğer ihtisas kredileriyle kıyaslandığında göreli olarak daha yüksek olan ve ticari amaçlı gayrimenkullerin finanse edilmesi amacıyla sağlanan alacaklar volatilitesi yüksek ticari gayrimenkul finansmanı olarak sınıflandırılır. Teminatı, Kurum ya da yabancı ülke otoriteleri tarafından </w:t>
                  </w:r>
                  <w:proofErr w:type="gramStart"/>
                  <w:r w:rsidRPr="00082ECE">
                    <w:rPr>
                      <w:rFonts w:ascii="Times New Roman" w:eastAsia="Times New Roman" w:hAnsi="Times New Roman" w:cs="Times New Roman"/>
                      <w:sz w:val="18"/>
                      <w:szCs w:val="18"/>
                      <w:lang w:eastAsia="tr-TR"/>
                    </w:rPr>
                    <w:t>volatilitesi</w:t>
                  </w:r>
                  <w:proofErr w:type="gramEnd"/>
                  <w:r w:rsidRPr="00082ECE">
                    <w:rPr>
                      <w:rFonts w:ascii="Times New Roman" w:eastAsia="Times New Roman" w:hAnsi="Times New Roman" w:cs="Times New Roman"/>
                      <w:sz w:val="18"/>
                      <w:szCs w:val="18"/>
                      <w:lang w:eastAsia="tr-TR"/>
                    </w:rPr>
                    <w:t xml:space="preserve"> yüksek ticari gayrimenkul olarak sınıflandırılan alacaklar ile bu tür gayrimenkullere ilişkin arazi satın alınması, proje geliştirilmesi veya inşaat finansmanı sağlayan alacaklar volatilitesi yüksek ticari gayrimenkul finansmanı sınıfına dâhil edilir. Kurum ya da yabancı ülke otoriteleri tarafından </w:t>
                  </w:r>
                  <w:proofErr w:type="gramStart"/>
                  <w:r w:rsidRPr="00082ECE">
                    <w:rPr>
                      <w:rFonts w:ascii="Times New Roman" w:eastAsia="Times New Roman" w:hAnsi="Times New Roman" w:cs="Times New Roman"/>
                      <w:sz w:val="18"/>
                      <w:szCs w:val="18"/>
                      <w:lang w:eastAsia="tr-TR"/>
                    </w:rPr>
                    <w:t>volatilitesi</w:t>
                  </w:r>
                  <w:proofErr w:type="gramEnd"/>
                  <w:r w:rsidRPr="00082ECE">
                    <w:rPr>
                      <w:rFonts w:ascii="Times New Roman" w:eastAsia="Times New Roman" w:hAnsi="Times New Roman" w:cs="Times New Roman"/>
                      <w:sz w:val="18"/>
                      <w:szCs w:val="18"/>
                      <w:lang w:eastAsia="tr-TR"/>
                    </w:rPr>
                    <w:t xml:space="preserve"> yüksek ticari gayrimenkul olarak sınıflandırılmayan gayrimenkullere ilişkin arazi satın alınması, proje geliştirilmesi veya inşaat finansmanı sağlayan alacaklar da geri ödemelerin büyük ölçüde borçlunun sermayesinden sağlanmayacak olması ve alacağa ilişkin geri ödeme kaynağının, gayrimenkulün gelecekte satılabilmesi halinde elde edilecek nakit akışı olması veya gayrimenkulün mevcut kiralama oranının emsallerine kıyasla daha düşük olması gibi sebeplerle önemli derecede belirsiz nakit akışları olması halinde volatilitesi yüksek ticari gayrimenkul finansmanı sınıfına dâhil edilir. Bu alacaklara ilişkin geri ödemelerin büyük ölçüde borçlunun sermayesinden sağlanabilmesi sebebiyle </w:t>
                  </w:r>
                  <w:proofErr w:type="gramStart"/>
                  <w:r w:rsidRPr="00082ECE">
                    <w:rPr>
                      <w:rFonts w:ascii="Times New Roman" w:eastAsia="Times New Roman" w:hAnsi="Times New Roman" w:cs="Times New Roman"/>
                      <w:sz w:val="18"/>
                      <w:szCs w:val="18"/>
                      <w:lang w:eastAsia="tr-TR"/>
                    </w:rPr>
                    <w:t>volatilitesi</w:t>
                  </w:r>
                  <w:proofErr w:type="gramEnd"/>
                  <w:r w:rsidRPr="00082ECE">
                    <w:rPr>
                      <w:rFonts w:ascii="Times New Roman" w:eastAsia="Times New Roman" w:hAnsi="Times New Roman" w:cs="Times New Roman"/>
                      <w:sz w:val="18"/>
                      <w:szCs w:val="18"/>
                      <w:lang w:eastAsia="tr-TR"/>
                    </w:rPr>
                    <w:t xml:space="preserve"> yüksek ticari gayrimenkul olarak sınıflandırılmayan alacaklara, bu alacakların vadelerine bakılmaksızın, Ek-1’in Birinci Bölümünün yedinci fıkrası kapsamında vadesi 2,5 yıldan fazla olan diğer ihtisas kredileri için belirlenen risk ağırlıkları kullanılır.” </w:t>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b/>
                      <w:sz w:val="18"/>
                      <w:szCs w:val="18"/>
                      <w:lang w:eastAsia="tr-TR"/>
                    </w:rPr>
                    <w:t>MADDE 2 –</w:t>
                  </w:r>
                  <w:r w:rsidRPr="00082ECE">
                    <w:rPr>
                      <w:rFonts w:ascii="Times New Roman" w:eastAsia="Times New Roman" w:hAnsi="Times New Roman" w:cs="Times New Roman"/>
                      <w:sz w:val="18"/>
                      <w:szCs w:val="18"/>
                      <w:lang w:eastAsia="tr-TR"/>
                    </w:rPr>
                    <w:t xml:space="preserve"> Aynı Tebliğin Ek-1'inin Birinci Bölümünün beşinci fıkrası aşağıdaki şekilde değiştirilmiştir.</w:t>
                  </w:r>
                </w:p>
                <w:p w:rsidR="00082ECE" w:rsidRPr="00082ECE" w:rsidRDefault="00082ECE" w:rsidP="00082ECE">
                  <w:pPr>
                    <w:spacing w:before="100" w:beforeAutospacing="1" w:line="240" w:lineRule="exact"/>
                    <w:ind w:firstLine="567"/>
                    <w:rPr>
                      <w:rFonts w:ascii="Times New Roman" w:eastAsia="Times New Roman" w:hAnsi="Times New Roman" w:cs="Times New Roman"/>
                      <w:sz w:val="18"/>
                      <w:szCs w:val="18"/>
                      <w:lang w:eastAsia="tr-TR"/>
                    </w:rPr>
                  </w:pPr>
                  <w:r w:rsidRPr="00082ECE">
                    <w:rPr>
                      <w:rFonts w:ascii="Times New Roman" w:eastAsia="Times New Roman" w:hAnsi="Times New Roman" w:cs="Times New Roman"/>
                      <w:sz w:val="18"/>
                      <w:szCs w:val="18"/>
                      <w:lang w:eastAsia="tr-TR"/>
                    </w:rPr>
                    <w:t>“</w:t>
                  </w:r>
                  <w:r w:rsidRPr="00082ECE">
                    <w:rPr>
                      <w:rFonts w:ascii="Times New Roman" w:eastAsia="Times New Roman" w:hAnsi="Times New Roman" w:cs="Times New Roman"/>
                      <w:b/>
                      <w:sz w:val="18"/>
                      <w:szCs w:val="18"/>
                      <w:lang w:eastAsia="tr-TR"/>
                    </w:rPr>
                    <w:t>5.</w:t>
                  </w:r>
                  <w:r w:rsidRPr="00082ECE">
                    <w:rPr>
                      <w:rFonts w:ascii="Times New Roman" w:eastAsia="Times New Roman" w:hAnsi="Times New Roman" w:cs="Times New Roman"/>
                      <w:sz w:val="18"/>
                      <w:szCs w:val="18"/>
                      <w:lang w:eastAsia="tr-TR"/>
                    </w:rPr>
                    <w:t xml:space="preserve"> KOBİ’lerden olan kurumsal alacaklar için ikinci fıkra uyarınca risk ağırlıklarının hesaplanmasında, aşağıda yer alan </w:t>
                  </w:r>
                  <w:proofErr w:type="gramStart"/>
                  <w:r w:rsidRPr="00082ECE">
                    <w:rPr>
                      <w:rFonts w:ascii="Times New Roman" w:eastAsia="Times New Roman" w:hAnsi="Times New Roman" w:cs="Times New Roman"/>
                      <w:sz w:val="18"/>
                      <w:szCs w:val="18"/>
                      <w:lang w:eastAsia="tr-TR"/>
                    </w:rPr>
                    <w:t>korelasyon</w:t>
                  </w:r>
                  <w:proofErr w:type="gramEnd"/>
                  <w:r w:rsidRPr="00082ECE">
                    <w:rPr>
                      <w:rFonts w:ascii="Times New Roman" w:eastAsia="Times New Roman" w:hAnsi="Times New Roman" w:cs="Times New Roman"/>
                      <w:sz w:val="18"/>
                      <w:szCs w:val="18"/>
                      <w:lang w:eastAsia="tr-TR"/>
                    </w:rPr>
                    <w:t xml:space="preserve"> formülü kullanılır.</w:t>
                  </w:r>
                </w:p>
                <w:p w:rsidR="00082ECE" w:rsidRPr="00082ECE" w:rsidRDefault="00082ECE" w:rsidP="00082ECE">
                  <w:pPr>
                    <w:spacing w:before="80" w:after="8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5124450" cy="619125"/>
                        <wp:effectExtent l="19050" t="0" r="0" b="0"/>
                        <wp:docPr id="1" name="Resim 1" descr="kREDİ rİSKİNE 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Dİ rİSKİNE ESAS"/>
                                <pic:cNvPicPr>
                                  <a:picLocks noChangeAspect="1" noChangeArrowheads="1"/>
                                </pic:cNvPicPr>
                              </pic:nvPicPr>
                              <pic:blipFill>
                                <a:blip r:embed="rId4" cstate="print"/>
                                <a:srcRect/>
                                <a:stretch>
                                  <a:fillRect/>
                                </a:stretch>
                              </pic:blipFill>
                              <pic:spPr bwMode="auto">
                                <a:xfrm>
                                  <a:off x="0" y="0"/>
                                  <a:ext cx="5124450" cy="619125"/>
                                </a:xfrm>
                                <a:prstGeom prst="rect">
                                  <a:avLst/>
                                </a:prstGeom>
                                <a:noFill/>
                                <a:ln w="9525">
                                  <a:noFill/>
                                  <a:miter lim="800000"/>
                                  <a:headEnd/>
                                  <a:tailEnd/>
                                </a:ln>
                              </pic:spPr>
                            </pic:pic>
                          </a:graphicData>
                        </a:graphic>
                      </wp:inline>
                    </w:drawing>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sz w:val="18"/>
                      <w:szCs w:val="18"/>
                      <w:lang w:eastAsia="tr-TR"/>
                    </w:rPr>
                    <w:t xml:space="preserve">Formülde, “S” milyon TL olarak, KOBİ’nin içinde yer aldığı risk grubunun </w:t>
                  </w:r>
                  <w:proofErr w:type="gramStart"/>
                  <w:r w:rsidRPr="00082ECE">
                    <w:rPr>
                      <w:rFonts w:ascii="Times New Roman" w:eastAsia="Times New Roman" w:hAnsi="Times New Roman" w:cs="Times New Roman"/>
                      <w:sz w:val="18"/>
                      <w:szCs w:val="18"/>
                      <w:lang w:eastAsia="tr-TR"/>
                    </w:rPr>
                    <w:t>konsolide</w:t>
                  </w:r>
                  <w:proofErr w:type="gramEnd"/>
                  <w:r w:rsidRPr="00082ECE">
                    <w:rPr>
                      <w:rFonts w:ascii="Times New Roman" w:eastAsia="Times New Roman" w:hAnsi="Times New Roman" w:cs="Times New Roman"/>
                      <w:sz w:val="18"/>
                      <w:szCs w:val="18"/>
                      <w:lang w:eastAsia="tr-TR"/>
                    </w:rPr>
                    <w:t xml:space="preserve"> bazda yıllık net satış hâsılatını ifade eder. Devralınan KOBİ alacaklarından oluşan bir havuz için “S” parametresinin hesaplamasında, devralınan alacak havuzundaki her bir alacakla </w:t>
                  </w:r>
                  <w:proofErr w:type="spellStart"/>
                  <w:r w:rsidRPr="00082ECE">
                    <w:rPr>
                      <w:rFonts w:ascii="Times New Roman" w:eastAsia="Times New Roman" w:hAnsi="Times New Roman" w:cs="Times New Roman"/>
                      <w:sz w:val="18"/>
                      <w:szCs w:val="18"/>
                      <w:lang w:eastAsia="tr-TR"/>
                    </w:rPr>
                    <w:t>ağırlıklandırılmış</w:t>
                  </w:r>
                  <w:proofErr w:type="spellEnd"/>
                  <w:r w:rsidRPr="00082ECE">
                    <w:rPr>
                      <w:rFonts w:ascii="Times New Roman" w:eastAsia="Times New Roman" w:hAnsi="Times New Roman" w:cs="Times New Roman"/>
                      <w:sz w:val="18"/>
                      <w:szCs w:val="18"/>
                      <w:lang w:eastAsia="tr-TR"/>
                    </w:rPr>
                    <w:t xml:space="preserve"> yıllık net satış hâsılatı dikkate alınır. Net satış </w:t>
                  </w:r>
                  <w:proofErr w:type="gramStart"/>
                  <w:r w:rsidRPr="00082ECE">
                    <w:rPr>
                      <w:rFonts w:ascii="Times New Roman" w:eastAsia="Times New Roman" w:hAnsi="Times New Roman" w:cs="Times New Roman"/>
                      <w:sz w:val="18"/>
                      <w:szCs w:val="18"/>
                      <w:lang w:eastAsia="tr-TR"/>
                    </w:rPr>
                    <w:t>hasılatının</w:t>
                  </w:r>
                  <w:proofErr w:type="gramEnd"/>
                  <w:r w:rsidRPr="00082ECE">
                    <w:rPr>
                      <w:rFonts w:ascii="Times New Roman" w:eastAsia="Times New Roman" w:hAnsi="Times New Roman" w:cs="Times New Roman"/>
                      <w:sz w:val="18"/>
                      <w:szCs w:val="18"/>
                      <w:lang w:eastAsia="tr-TR"/>
                    </w:rPr>
                    <w:t xml:space="preserve"> firma büyüklüğü konusunda anlamlı bir gösterge olmaması durumunda net satış hasılatı yerine mali bilanço kullanılabilir. Bu bilgilerin bulunmaması halinde ikinci fıkrada belirtilen </w:t>
                  </w:r>
                  <w:proofErr w:type="gramStart"/>
                  <w:r w:rsidRPr="00082ECE">
                    <w:rPr>
                      <w:rFonts w:ascii="Times New Roman" w:eastAsia="Times New Roman" w:hAnsi="Times New Roman" w:cs="Times New Roman"/>
                      <w:sz w:val="18"/>
                      <w:szCs w:val="18"/>
                      <w:lang w:eastAsia="tr-TR"/>
                    </w:rPr>
                    <w:t>korelasyon</w:t>
                  </w:r>
                  <w:proofErr w:type="gramEnd"/>
                  <w:r w:rsidRPr="00082ECE">
                    <w:rPr>
                      <w:rFonts w:ascii="Times New Roman" w:eastAsia="Times New Roman" w:hAnsi="Times New Roman" w:cs="Times New Roman"/>
                      <w:sz w:val="18"/>
                      <w:szCs w:val="18"/>
                      <w:lang w:eastAsia="tr-TR"/>
                    </w:rPr>
                    <w:t xml:space="preserve"> formülü kullanılır.”</w:t>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b/>
                      <w:sz w:val="18"/>
                      <w:szCs w:val="18"/>
                      <w:lang w:eastAsia="tr-TR"/>
                    </w:rPr>
                    <w:t>MADDE 3 –</w:t>
                  </w:r>
                  <w:r w:rsidRPr="00082ECE">
                    <w:rPr>
                      <w:rFonts w:ascii="Times New Roman" w:eastAsia="Times New Roman" w:hAnsi="Times New Roman" w:cs="Times New Roman"/>
                      <w:sz w:val="18"/>
                      <w:szCs w:val="18"/>
                      <w:lang w:eastAsia="tr-TR"/>
                    </w:rPr>
                    <w:t xml:space="preserve"> Aynı Tebliğin Ek-1'inin Üçüncü Bölümünün ikinci fıkrasının (a) bendi aşağıdaki şekilde değiştirilmiştir.</w:t>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sz w:val="18"/>
                      <w:szCs w:val="18"/>
                      <w:lang w:eastAsia="tr-TR"/>
                    </w:rPr>
                    <w:t>"a) Banka tarafından istenildiği zaman herhangi bir şarta bağlı olmadan cayılabilen ya da borçlunun kredi değerliliğinde bozulma olması halinde otomatik olarak iptal edilebilen cayılabilir taahhütler için %0 dönüştürme oranı uygulanır. %0 dönüştürme oranı uygulanabilmesi için, bankaların, borçlunun mali durumunu düzenli olarak izlemesi ve iç kontrol sistemlerinin borçlunun kredi kalitesindeki bir bozulmanın derhal tespit edilmesine olanak sağlaması gerekir. Sözleşme koşullarının bankaya kullandırılmamış kredi taahhütlerinden cayabilme hakkı vermesi durumunda, tüketiciyi koruma mevzuatının ve ilgili diğer mevzuatın da dikkate alınması şartıyla bu taahhütlerin şarta bağlı olmadan cayılabilir olduğu kabul edilebilir."</w:t>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b/>
                      <w:sz w:val="18"/>
                      <w:szCs w:val="18"/>
                      <w:lang w:eastAsia="tr-TR"/>
                    </w:rPr>
                    <w:t>MADDE 4 –</w:t>
                  </w:r>
                  <w:r w:rsidRPr="00082ECE">
                    <w:rPr>
                      <w:rFonts w:ascii="Times New Roman" w:eastAsia="Times New Roman" w:hAnsi="Times New Roman" w:cs="Times New Roman"/>
                      <w:sz w:val="18"/>
                      <w:szCs w:val="18"/>
                      <w:lang w:eastAsia="tr-TR"/>
                    </w:rPr>
                    <w:t xml:space="preserve"> Aynı Tebliğin Ek-2'sinin yedinci fıkrasının (c) bendi aşağıdaki şekilde değiştirilmiştir.</w:t>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sz w:val="18"/>
                      <w:szCs w:val="18"/>
                      <w:lang w:eastAsia="tr-TR"/>
                    </w:rPr>
                    <w:lastRenderedPageBreak/>
                    <w:t>"c) Ödemelerin gecikmesine ilişkin durumlar."</w:t>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b/>
                      <w:sz w:val="18"/>
                      <w:szCs w:val="18"/>
                      <w:lang w:eastAsia="tr-TR"/>
                    </w:rPr>
                    <w:t>MADDE 5 –</w:t>
                  </w:r>
                  <w:r w:rsidRPr="00082ECE">
                    <w:rPr>
                      <w:rFonts w:ascii="Times New Roman" w:eastAsia="Times New Roman" w:hAnsi="Times New Roman" w:cs="Times New Roman"/>
                      <w:sz w:val="18"/>
                      <w:szCs w:val="18"/>
                      <w:lang w:eastAsia="tr-TR"/>
                    </w:rPr>
                    <w:t xml:space="preserve"> Aynı Tebliğin Ek-2'sinin </w:t>
                  </w:r>
                  <w:proofErr w:type="spellStart"/>
                  <w:r w:rsidRPr="00082ECE">
                    <w:rPr>
                      <w:rFonts w:ascii="Times New Roman" w:eastAsia="Times New Roman" w:hAnsi="Times New Roman" w:cs="Times New Roman"/>
                      <w:sz w:val="18"/>
                      <w:szCs w:val="18"/>
                      <w:lang w:eastAsia="tr-TR"/>
                    </w:rPr>
                    <w:t>onikinci</w:t>
                  </w:r>
                  <w:proofErr w:type="spellEnd"/>
                  <w:r w:rsidRPr="00082ECE">
                    <w:rPr>
                      <w:rFonts w:ascii="Times New Roman" w:eastAsia="Times New Roman" w:hAnsi="Times New Roman" w:cs="Times New Roman"/>
                      <w:sz w:val="18"/>
                      <w:szCs w:val="18"/>
                      <w:lang w:eastAsia="tr-TR"/>
                    </w:rPr>
                    <w:t xml:space="preserve"> fıkrası aşağıdaki şekilde değiştirilmiştir.</w:t>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sz w:val="18"/>
                      <w:szCs w:val="18"/>
                      <w:lang w:eastAsia="tr-TR"/>
                    </w:rPr>
                    <w:t>"</w:t>
                  </w:r>
                  <w:r w:rsidRPr="00082ECE">
                    <w:rPr>
                      <w:rFonts w:ascii="Times New Roman" w:eastAsia="Times New Roman" w:hAnsi="Times New Roman" w:cs="Times New Roman"/>
                      <w:b/>
                      <w:sz w:val="18"/>
                      <w:szCs w:val="18"/>
                      <w:lang w:eastAsia="tr-TR"/>
                    </w:rPr>
                    <w:t>12.</w:t>
                  </w:r>
                  <w:r w:rsidRPr="00082ECE">
                    <w:rPr>
                      <w:rFonts w:ascii="Times New Roman" w:eastAsia="Times New Roman" w:hAnsi="Times New Roman" w:cs="Times New Roman"/>
                      <w:sz w:val="18"/>
                      <w:szCs w:val="18"/>
                      <w:lang w:eastAsia="tr-TR"/>
                    </w:rPr>
                    <w:t xml:space="preserve"> Alacakların derece ve havuzlara tahsisinde, tahsis sürecinin girdileri ve çıktıları üzerinde kişisel değerlendirme kullanılarak değişiklik yapılabilecek durumların ve değişiklik yapmaya yetkili personelin bilgilerinin, söz konusu değişikliklerin limitlerini ve nasıl yapılacağını da içerecek şekilde yazılı hale getirilmesi gereklidir. Değişiklik yapılması halinde, bu değişiklikler ile değişikliği yapan personele ilişkin bilgiler kayıt altına alınır ve takip edilir. Bankaların modele dayanan derecelendirmelerde, model notunun değiştirilmesi, değişkenlerin çıkarılması veya girdilerin değiştirilmesi gibi durumların izlenmesine yönelik rehber ve süreçlere sahip olması gerekir. Bankalar söz konusu değişikliklerin yapıldığı alacakların performansını analiz eder.”</w:t>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b/>
                      <w:sz w:val="18"/>
                      <w:szCs w:val="18"/>
                      <w:lang w:eastAsia="tr-TR"/>
                    </w:rPr>
                    <w:t>MADDE 6 –</w:t>
                  </w:r>
                  <w:r w:rsidRPr="00082ECE">
                    <w:rPr>
                      <w:rFonts w:ascii="Times New Roman" w:eastAsia="Times New Roman" w:hAnsi="Times New Roman" w:cs="Times New Roman"/>
                      <w:sz w:val="18"/>
                      <w:szCs w:val="18"/>
                      <w:lang w:eastAsia="tr-TR"/>
                    </w:rPr>
                    <w:t xml:space="preserve"> Aynı Tebliğin Ek-2'sinin 33 üncü fıkrasının (a) bendi aşağıdaki şekilde değiştirilmiştir.</w:t>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sz w:val="18"/>
                      <w:szCs w:val="18"/>
                      <w:lang w:eastAsia="tr-TR"/>
                    </w:rPr>
                    <w:t>"a) Borcun, donuk alacak olarak sınıflandırılması,"</w:t>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b/>
                      <w:sz w:val="18"/>
                      <w:szCs w:val="18"/>
                      <w:lang w:eastAsia="tr-TR"/>
                    </w:rPr>
                    <w:t>MADDE 7 –</w:t>
                  </w:r>
                  <w:r w:rsidRPr="00082ECE">
                    <w:rPr>
                      <w:rFonts w:ascii="Times New Roman" w:eastAsia="Times New Roman" w:hAnsi="Times New Roman" w:cs="Times New Roman"/>
                      <w:sz w:val="18"/>
                      <w:szCs w:val="18"/>
                      <w:lang w:eastAsia="tr-TR"/>
                    </w:rPr>
                    <w:t xml:space="preserve"> Aynı Tebliğin Ek-2'sinin 56 </w:t>
                  </w:r>
                  <w:proofErr w:type="spellStart"/>
                  <w:r w:rsidRPr="00082ECE">
                    <w:rPr>
                      <w:rFonts w:ascii="Times New Roman" w:eastAsia="Times New Roman" w:hAnsi="Times New Roman" w:cs="Times New Roman"/>
                      <w:sz w:val="18"/>
                      <w:szCs w:val="18"/>
                      <w:lang w:eastAsia="tr-TR"/>
                    </w:rPr>
                    <w:t>ncı</w:t>
                  </w:r>
                  <w:proofErr w:type="spellEnd"/>
                  <w:r w:rsidRPr="00082ECE">
                    <w:rPr>
                      <w:rFonts w:ascii="Times New Roman" w:eastAsia="Times New Roman" w:hAnsi="Times New Roman" w:cs="Times New Roman"/>
                      <w:sz w:val="18"/>
                      <w:szCs w:val="18"/>
                      <w:lang w:eastAsia="tr-TR"/>
                    </w:rPr>
                    <w:t xml:space="preserve"> fıkrasının ilk cümlesi aşağıdaki şekilde değiştirilmiştir.</w:t>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sz w:val="18"/>
                      <w:szCs w:val="18"/>
                      <w:lang w:eastAsia="tr-TR"/>
                    </w:rPr>
                    <w:t>“</w:t>
                  </w:r>
                  <w:proofErr w:type="spellStart"/>
                  <w:r w:rsidRPr="00082ECE">
                    <w:rPr>
                      <w:rFonts w:ascii="Times New Roman" w:eastAsia="Times New Roman" w:hAnsi="Times New Roman" w:cs="Times New Roman"/>
                      <w:sz w:val="18"/>
                      <w:szCs w:val="18"/>
                      <w:lang w:eastAsia="tr-TR"/>
                    </w:rPr>
                    <w:t>Validasyon</w:t>
                  </w:r>
                  <w:proofErr w:type="spellEnd"/>
                  <w:r w:rsidRPr="00082ECE">
                    <w:rPr>
                      <w:rFonts w:ascii="Times New Roman" w:eastAsia="Times New Roman" w:hAnsi="Times New Roman" w:cs="Times New Roman"/>
                      <w:sz w:val="18"/>
                      <w:szCs w:val="18"/>
                      <w:lang w:eastAsia="tr-TR"/>
                    </w:rPr>
                    <w:t xml:space="preserve">, asgari yılda bir kez olmak üzere kredi riski kontrol biriminden ve </w:t>
                  </w:r>
                  <w:proofErr w:type="spellStart"/>
                  <w:r w:rsidRPr="00082ECE">
                    <w:rPr>
                      <w:rFonts w:ascii="Times New Roman" w:eastAsia="Times New Roman" w:hAnsi="Times New Roman" w:cs="Times New Roman"/>
                      <w:sz w:val="18"/>
                      <w:szCs w:val="18"/>
                      <w:lang w:eastAsia="tr-TR"/>
                    </w:rPr>
                    <w:t>icrai</w:t>
                  </w:r>
                  <w:proofErr w:type="spellEnd"/>
                  <w:r w:rsidRPr="00082ECE">
                    <w:rPr>
                      <w:rFonts w:ascii="Times New Roman" w:eastAsia="Times New Roman" w:hAnsi="Times New Roman" w:cs="Times New Roman"/>
                      <w:sz w:val="18"/>
                      <w:szCs w:val="18"/>
                      <w:lang w:eastAsia="tr-TR"/>
                    </w:rPr>
                    <w:t xml:space="preserve"> birimlerden bağımsız bir birim tarafından ya da bağımsız bir üçüncü tarafça aşağıda belirtilen şartlara uygun olarak gerçekleştirilir:”</w:t>
                  </w:r>
                </w:p>
                <w:p w:rsidR="00082ECE" w:rsidRPr="00082ECE" w:rsidRDefault="00082ECE" w:rsidP="00082ECE">
                  <w:pPr>
                    <w:spacing w:before="100" w:beforeAutospacing="1" w:after="100" w:afterAutospacing="1" w:line="240" w:lineRule="exact"/>
                    <w:rPr>
                      <w:rFonts w:ascii="Times New Roman" w:eastAsia="Times New Roman" w:hAnsi="Times New Roman" w:cs="Times New Roman"/>
                      <w:sz w:val="18"/>
                      <w:szCs w:val="18"/>
                      <w:lang w:eastAsia="tr-TR"/>
                    </w:rPr>
                  </w:pPr>
                  <w:r w:rsidRPr="00082ECE">
                    <w:rPr>
                      <w:rFonts w:ascii="Times New Roman" w:eastAsia="Times New Roman" w:hAnsi="Times New Roman" w:cs="Times New Roman"/>
                      <w:b/>
                      <w:sz w:val="18"/>
                      <w:szCs w:val="18"/>
                      <w:lang w:eastAsia="tr-TR"/>
                    </w:rPr>
                    <w:t>MADDE 8 –</w:t>
                  </w:r>
                  <w:r w:rsidRPr="00082ECE">
                    <w:rPr>
                      <w:rFonts w:ascii="Times New Roman" w:eastAsia="Times New Roman" w:hAnsi="Times New Roman" w:cs="Times New Roman"/>
                      <w:sz w:val="18"/>
                      <w:szCs w:val="18"/>
                      <w:lang w:eastAsia="tr-TR"/>
                    </w:rPr>
                    <w:t xml:space="preserve"> Bu Tebliğ </w:t>
                  </w:r>
                  <w:proofErr w:type="gramStart"/>
                  <w:r w:rsidRPr="00082ECE">
                    <w:rPr>
                      <w:rFonts w:ascii="Times New Roman" w:eastAsia="Times New Roman" w:hAnsi="Times New Roman" w:cs="Times New Roman"/>
                      <w:sz w:val="18"/>
                      <w:szCs w:val="18"/>
                      <w:lang w:eastAsia="tr-TR"/>
                    </w:rPr>
                    <w:t>31/3/2016</w:t>
                  </w:r>
                  <w:proofErr w:type="gramEnd"/>
                  <w:r w:rsidRPr="00082ECE">
                    <w:rPr>
                      <w:rFonts w:ascii="Times New Roman" w:eastAsia="Times New Roman" w:hAnsi="Times New Roman" w:cs="Times New Roman"/>
                      <w:sz w:val="18"/>
                      <w:szCs w:val="18"/>
                      <w:lang w:eastAsia="tr-TR"/>
                    </w:rPr>
                    <w:t xml:space="preserve"> tarihinde yürürlüğe girer.</w:t>
                  </w:r>
                </w:p>
                <w:p w:rsidR="00082ECE" w:rsidRPr="00082ECE" w:rsidRDefault="00082ECE" w:rsidP="00082ECE">
                  <w:pPr>
                    <w:spacing w:before="100" w:beforeAutospacing="1" w:line="240" w:lineRule="exact"/>
                    <w:ind w:firstLine="567"/>
                    <w:rPr>
                      <w:rFonts w:ascii="Times New Roman" w:eastAsia="Times New Roman" w:hAnsi="Times New Roman" w:cs="Times New Roman"/>
                      <w:sz w:val="18"/>
                      <w:szCs w:val="18"/>
                      <w:lang w:eastAsia="tr-TR"/>
                    </w:rPr>
                  </w:pPr>
                  <w:r w:rsidRPr="00082ECE">
                    <w:rPr>
                      <w:rFonts w:ascii="Times New Roman" w:eastAsia="Times New Roman" w:hAnsi="Times New Roman" w:cs="Times New Roman"/>
                      <w:b/>
                      <w:sz w:val="18"/>
                      <w:szCs w:val="18"/>
                      <w:lang w:eastAsia="tr-TR"/>
                    </w:rPr>
                    <w:t>MADDE 9 –</w:t>
                  </w:r>
                  <w:r w:rsidRPr="00082ECE">
                    <w:rPr>
                      <w:rFonts w:ascii="Times New Roman" w:eastAsia="Times New Roman" w:hAnsi="Times New Roman" w:cs="Times New Roman"/>
                      <w:sz w:val="18"/>
                      <w:szCs w:val="18"/>
                      <w:lang w:eastAsia="tr-TR"/>
                    </w:rPr>
                    <w:t xml:space="preserve"> Bu Tebliğ hükümlerini Bankacılık Düzenleme ve Denetleme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082ECE" w:rsidRPr="00082ECE">
                    <w:trPr>
                      <w:jc w:val="center"/>
                    </w:trPr>
                    <w:tc>
                      <w:tcPr>
                        <w:tcW w:w="8505" w:type="dxa"/>
                        <w:gridSpan w:val="2"/>
                        <w:tcBorders>
                          <w:top w:val="single" w:sz="4" w:space="0" w:color="auto"/>
                          <w:left w:val="single" w:sz="4" w:space="0" w:color="auto"/>
                          <w:bottom w:val="nil"/>
                          <w:right w:val="single" w:sz="4" w:space="0" w:color="auto"/>
                        </w:tcBorders>
                        <w:hideMark/>
                      </w:tcPr>
                      <w:p w:rsidR="00082ECE" w:rsidRPr="00082ECE" w:rsidRDefault="00082ECE" w:rsidP="00082ECE">
                        <w:pPr>
                          <w:tabs>
                            <w:tab w:val="left" w:pos="566"/>
                          </w:tabs>
                          <w:spacing w:after="0" w:line="240" w:lineRule="exact"/>
                          <w:jc w:val="center"/>
                          <w:rPr>
                            <w:rFonts w:ascii="Times New Roman" w:eastAsia="Times New Roman" w:hAnsi="Times New Roman" w:cs="Times New Roman"/>
                            <w:b/>
                            <w:sz w:val="18"/>
                            <w:szCs w:val="18"/>
                          </w:rPr>
                        </w:pPr>
                        <w:r w:rsidRPr="00082ECE">
                          <w:rPr>
                            <w:rFonts w:ascii="Times New Roman" w:eastAsia="Times New Roman" w:hAnsi="Times New Roman" w:cs="Times New Roman"/>
                            <w:b/>
                            <w:sz w:val="18"/>
                            <w:szCs w:val="18"/>
                          </w:rPr>
                          <w:t>Tebliğin Yayımlandığı Resmî Gazete'nin</w:t>
                        </w:r>
                      </w:p>
                    </w:tc>
                  </w:tr>
                  <w:tr w:rsidR="00082ECE" w:rsidRPr="00082ECE">
                    <w:trPr>
                      <w:jc w:val="center"/>
                    </w:trPr>
                    <w:tc>
                      <w:tcPr>
                        <w:tcW w:w="4254" w:type="dxa"/>
                        <w:tcBorders>
                          <w:top w:val="nil"/>
                          <w:left w:val="single" w:sz="4" w:space="0" w:color="auto"/>
                          <w:bottom w:val="single" w:sz="4" w:space="0" w:color="auto"/>
                          <w:right w:val="nil"/>
                        </w:tcBorders>
                        <w:hideMark/>
                      </w:tcPr>
                      <w:p w:rsidR="00082ECE" w:rsidRPr="00082ECE" w:rsidRDefault="00082ECE" w:rsidP="00082ECE">
                        <w:pPr>
                          <w:tabs>
                            <w:tab w:val="left" w:pos="566"/>
                          </w:tabs>
                          <w:spacing w:after="0" w:line="240" w:lineRule="exact"/>
                          <w:jc w:val="center"/>
                          <w:rPr>
                            <w:rFonts w:ascii="Times New Roman" w:eastAsia="Times New Roman" w:hAnsi="Times New Roman" w:cs="Times New Roman"/>
                            <w:b/>
                            <w:sz w:val="18"/>
                            <w:szCs w:val="18"/>
                          </w:rPr>
                        </w:pPr>
                        <w:r w:rsidRPr="00082ECE">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082ECE" w:rsidRPr="00082ECE" w:rsidRDefault="00082ECE" w:rsidP="00082ECE">
                        <w:pPr>
                          <w:tabs>
                            <w:tab w:val="left" w:pos="566"/>
                          </w:tabs>
                          <w:spacing w:after="0" w:line="240" w:lineRule="exact"/>
                          <w:jc w:val="center"/>
                          <w:rPr>
                            <w:rFonts w:ascii="Times New Roman" w:eastAsia="Times New Roman" w:hAnsi="Times New Roman" w:cs="Times New Roman"/>
                            <w:b/>
                            <w:sz w:val="18"/>
                            <w:szCs w:val="18"/>
                          </w:rPr>
                        </w:pPr>
                        <w:r w:rsidRPr="00082ECE">
                          <w:rPr>
                            <w:rFonts w:ascii="Times New Roman" w:eastAsia="Times New Roman" w:hAnsi="Times New Roman" w:cs="Times New Roman"/>
                            <w:b/>
                            <w:sz w:val="18"/>
                            <w:szCs w:val="18"/>
                          </w:rPr>
                          <w:t>Sayısı</w:t>
                        </w:r>
                      </w:p>
                    </w:tc>
                  </w:tr>
                  <w:tr w:rsidR="00082ECE" w:rsidRPr="00082ECE">
                    <w:trPr>
                      <w:jc w:val="center"/>
                    </w:trPr>
                    <w:tc>
                      <w:tcPr>
                        <w:tcW w:w="4254" w:type="dxa"/>
                        <w:tcBorders>
                          <w:top w:val="single" w:sz="4" w:space="0" w:color="auto"/>
                          <w:left w:val="single" w:sz="4" w:space="0" w:color="auto"/>
                          <w:bottom w:val="single" w:sz="4" w:space="0" w:color="auto"/>
                          <w:right w:val="single" w:sz="4" w:space="0" w:color="auto"/>
                        </w:tcBorders>
                        <w:hideMark/>
                      </w:tcPr>
                      <w:p w:rsidR="00082ECE" w:rsidRPr="00082ECE" w:rsidRDefault="00082ECE" w:rsidP="00082ECE">
                        <w:pPr>
                          <w:tabs>
                            <w:tab w:val="left" w:pos="566"/>
                          </w:tabs>
                          <w:spacing w:after="0" w:line="240" w:lineRule="exact"/>
                          <w:jc w:val="center"/>
                          <w:rPr>
                            <w:rFonts w:ascii="Times New Roman" w:eastAsia="Times New Roman" w:hAnsi="Times New Roman" w:cs="Times New Roman"/>
                            <w:sz w:val="18"/>
                            <w:szCs w:val="18"/>
                          </w:rPr>
                        </w:pPr>
                        <w:proofErr w:type="gramStart"/>
                        <w:r w:rsidRPr="00082ECE">
                          <w:rPr>
                            <w:rFonts w:ascii="Times New Roman" w:eastAsia="Times New Roman" w:hAnsi="Times New Roman" w:cs="Times New Roman"/>
                            <w:sz w:val="18"/>
                            <w:szCs w:val="18"/>
                          </w:rPr>
                          <w:t>23/10/2015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82ECE" w:rsidRPr="00082ECE" w:rsidRDefault="00082ECE" w:rsidP="00082ECE">
                        <w:pPr>
                          <w:tabs>
                            <w:tab w:val="left" w:pos="566"/>
                          </w:tabs>
                          <w:spacing w:after="0" w:line="240" w:lineRule="exact"/>
                          <w:jc w:val="center"/>
                          <w:rPr>
                            <w:rFonts w:ascii="Times New Roman" w:eastAsia="Times New Roman" w:hAnsi="Times New Roman" w:cs="Times New Roman"/>
                            <w:sz w:val="18"/>
                            <w:szCs w:val="18"/>
                          </w:rPr>
                        </w:pPr>
                        <w:r w:rsidRPr="00082ECE">
                          <w:rPr>
                            <w:rFonts w:ascii="Times New Roman" w:eastAsia="Times New Roman" w:hAnsi="Times New Roman" w:cs="Times New Roman"/>
                            <w:sz w:val="18"/>
                            <w:szCs w:val="18"/>
                          </w:rPr>
                          <w:t>29511</w:t>
                        </w:r>
                      </w:p>
                    </w:tc>
                  </w:tr>
                </w:tbl>
                <w:p w:rsidR="00082ECE" w:rsidRPr="00082ECE" w:rsidRDefault="00082ECE" w:rsidP="00082EC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82ECE" w:rsidRPr="00082ECE" w:rsidRDefault="00082ECE" w:rsidP="00082ECE">
            <w:pPr>
              <w:spacing w:after="0" w:line="240" w:lineRule="auto"/>
              <w:jc w:val="center"/>
              <w:rPr>
                <w:rFonts w:ascii="Times New Roman" w:eastAsia="Times New Roman" w:hAnsi="Times New Roman" w:cs="Times New Roman"/>
                <w:sz w:val="20"/>
                <w:szCs w:val="20"/>
                <w:lang w:eastAsia="tr-TR"/>
              </w:rPr>
            </w:pPr>
          </w:p>
        </w:tc>
      </w:tr>
    </w:tbl>
    <w:p w:rsidR="00082ECE" w:rsidRPr="00082ECE" w:rsidRDefault="00082ECE" w:rsidP="00082ECE">
      <w:pPr>
        <w:spacing w:after="0" w:line="240" w:lineRule="auto"/>
        <w:jc w:val="center"/>
        <w:rPr>
          <w:rFonts w:ascii="Times New Roman" w:eastAsia="Times New Roman" w:hAnsi="Times New Roman" w:cs="Times New Roman"/>
          <w:sz w:val="24"/>
          <w:szCs w:val="24"/>
          <w:lang w:eastAsia="tr-TR"/>
        </w:rPr>
      </w:pPr>
    </w:p>
    <w:p w:rsidR="00882FD8" w:rsidRDefault="00882FD8"/>
    <w:sectPr w:rsidR="00882FD8" w:rsidSect="00882F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2ECE"/>
    <w:rsid w:val="00082ECE"/>
    <w:rsid w:val="00882F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FD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82EC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82ECE"/>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082ECE"/>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082ECE"/>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082EC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82EC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2E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7931291">
      <w:bodyDiv w:val="1"/>
      <w:marLeft w:val="0"/>
      <w:marRight w:val="0"/>
      <w:marTop w:val="0"/>
      <w:marBottom w:val="0"/>
      <w:divBdr>
        <w:top w:val="none" w:sz="0" w:space="0" w:color="auto"/>
        <w:left w:val="none" w:sz="0" w:space="0" w:color="auto"/>
        <w:bottom w:val="none" w:sz="0" w:space="0" w:color="auto"/>
        <w:right w:val="none" w:sz="0" w:space="0" w:color="auto"/>
      </w:divBdr>
      <w:divsChild>
        <w:div w:id="1853838607">
          <w:marLeft w:val="0"/>
          <w:marRight w:val="0"/>
          <w:marTop w:val="0"/>
          <w:marBottom w:val="0"/>
          <w:divBdr>
            <w:top w:val="none" w:sz="0" w:space="0" w:color="auto"/>
            <w:left w:val="none" w:sz="0" w:space="0" w:color="auto"/>
            <w:bottom w:val="none" w:sz="0" w:space="0" w:color="auto"/>
            <w:right w:val="none" w:sz="0" w:space="0" w:color="auto"/>
          </w:divBdr>
          <w:divsChild>
            <w:div w:id="202985937">
              <w:marLeft w:val="0"/>
              <w:marRight w:val="0"/>
              <w:marTop w:val="0"/>
              <w:marBottom w:val="0"/>
              <w:divBdr>
                <w:top w:val="none" w:sz="0" w:space="0" w:color="auto"/>
                <w:left w:val="none" w:sz="0" w:space="0" w:color="auto"/>
                <w:bottom w:val="none" w:sz="0" w:space="0" w:color="auto"/>
                <w:right w:val="none" w:sz="0" w:space="0" w:color="auto"/>
              </w:divBdr>
              <w:divsChild>
                <w:div w:id="1174304573">
                  <w:marLeft w:val="0"/>
                  <w:marRight w:val="0"/>
                  <w:marTop w:val="0"/>
                  <w:marBottom w:val="0"/>
                  <w:divBdr>
                    <w:top w:val="none" w:sz="0" w:space="0" w:color="auto"/>
                    <w:left w:val="none" w:sz="0" w:space="0" w:color="auto"/>
                    <w:bottom w:val="none" w:sz="0" w:space="0" w:color="auto"/>
                    <w:right w:val="none" w:sz="0" w:space="0" w:color="auto"/>
                  </w:divBdr>
                  <w:divsChild>
                    <w:div w:id="8608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2016-01-20T06:47:00Z</dcterms:created>
  <dcterms:modified xsi:type="dcterms:W3CDTF">2016-01-20T06:47:00Z</dcterms:modified>
</cp:coreProperties>
</file>