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D32B9" w:rsidRPr="005D32B9" w:rsidTr="005D32B9">
        <w:trPr>
          <w:jc w:val="center"/>
        </w:trPr>
        <w:tc>
          <w:tcPr>
            <w:tcW w:w="9104" w:type="dxa"/>
            <w:hideMark/>
          </w:tcPr>
          <w:tbl>
            <w:tblPr>
              <w:tblW w:w="8789" w:type="dxa"/>
              <w:jc w:val="center"/>
              <w:tblLook w:val="01E0"/>
            </w:tblPr>
            <w:tblGrid>
              <w:gridCol w:w="2931"/>
              <w:gridCol w:w="2931"/>
              <w:gridCol w:w="2927"/>
            </w:tblGrid>
            <w:tr w:rsidR="005D32B9" w:rsidRPr="005D32B9">
              <w:trPr>
                <w:trHeight w:val="317"/>
                <w:jc w:val="center"/>
              </w:trPr>
              <w:tc>
                <w:tcPr>
                  <w:tcW w:w="2931" w:type="dxa"/>
                  <w:tcBorders>
                    <w:top w:val="nil"/>
                    <w:left w:val="nil"/>
                    <w:bottom w:val="single" w:sz="4" w:space="0" w:color="660066"/>
                    <w:right w:val="nil"/>
                  </w:tcBorders>
                  <w:vAlign w:val="center"/>
                  <w:hideMark/>
                </w:tcPr>
                <w:p w:rsidR="005D32B9" w:rsidRPr="005D32B9" w:rsidRDefault="005D32B9" w:rsidP="005D32B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D32B9">
                    <w:rPr>
                      <w:rFonts w:ascii="Arial" w:eastAsia="Times New Roman" w:hAnsi="Arial" w:cs="Arial"/>
                      <w:sz w:val="16"/>
                      <w:szCs w:val="16"/>
                      <w:lang w:eastAsia="tr-TR"/>
                    </w:rPr>
                    <w:t>22 Ocak 2016 CUMA</w:t>
                  </w:r>
                </w:p>
              </w:tc>
              <w:tc>
                <w:tcPr>
                  <w:tcW w:w="2931" w:type="dxa"/>
                  <w:tcBorders>
                    <w:top w:val="nil"/>
                    <w:left w:val="nil"/>
                    <w:bottom w:val="single" w:sz="4" w:space="0" w:color="660066"/>
                    <w:right w:val="nil"/>
                  </w:tcBorders>
                  <w:vAlign w:val="center"/>
                  <w:hideMark/>
                </w:tcPr>
                <w:p w:rsidR="005D32B9" w:rsidRPr="005D32B9" w:rsidRDefault="005D32B9" w:rsidP="005D32B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D32B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D32B9" w:rsidRPr="005D32B9" w:rsidRDefault="005D32B9" w:rsidP="005D32B9">
                  <w:pPr>
                    <w:spacing w:before="100" w:beforeAutospacing="1" w:after="100" w:afterAutospacing="1" w:line="240" w:lineRule="auto"/>
                    <w:jc w:val="right"/>
                    <w:rPr>
                      <w:rFonts w:ascii="Arial" w:eastAsia="Times New Roman" w:hAnsi="Arial" w:cs="Arial"/>
                      <w:sz w:val="16"/>
                      <w:szCs w:val="16"/>
                      <w:lang w:eastAsia="tr-TR"/>
                    </w:rPr>
                  </w:pPr>
                  <w:proofErr w:type="gramStart"/>
                  <w:r w:rsidRPr="005D32B9">
                    <w:rPr>
                      <w:rFonts w:ascii="Arial" w:eastAsia="Times New Roman" w:hAnsi="Arial" w:cs="Arial"/>
                      <w:sz w:val="16"/>
                      <w:szCs w:val="16"/>
                      <w:lang w:eastAsia="tr-TR"/>
                    </w:rPr>
                    <w:t>Sayı : 29601</w:t>
                  </w:r>
                  <w:proofErr w:type="gramEnd"/>
                </w:p>
              </w:tc>
            </w:tr>
            <w:tr w:rsidR="005D32B9" w:rsidRPr="005D32B9">
              <w:trPr>
                <w:trHeight w:val="480"/>
                <w:jc w:val="center"/>
              </w:trPr>
              <w:tc>
                <w:tcPr>
                  <w:tcW w:w="8789" w:type="dxa"/>
                  <w:gridSpan w:val="3"/>
                  <w:vAlign w:val="center"/>
                  <w:hideMark/>
                </w:tcPr>
                <w:p w:rsidR="005D32B9" w:rsidRPr="005D32B9" w:rsidRDefault="005D32B9" w:rsidP="005D32B9">
                  <w:pPr>
                    <w:spacing w:before="100" w:beforeAutospacing="1" w:after="100" w:afterAutospacing="1" w:line="240" w:lineRule="auto"/>
                    <w:jc w:val="center"/>
                    <w:rPr>
                      <w:rFonts w:ascii="Arial" w:eastAsia="Times New Roman" w:hAnsi="Arial" w:cs="Arial"/>
                      <w:b/>
                      <w:color w:val="000080"/>
                      <w:sz w:val="18"/>
                      <w:szCs w:val="18"/>
                      <w:lang w:eastAsia="tr-TR"/>
                    </w:rPr>
                  </w:pPr>
                  <w:r w:rsidRPr="005D32B9">
                    <w:rPr>
                      <w:rFonts w:ascii="Arial" w:eastAsia="Times New Roman" w:hAnsi="Arial" w:cs="Arial"/>
                      <w:b/>
                      <w:color w:val="000080"/>
                      <w:sz w:val="18"/>
                      <w:szCs w:val="18"/>
                      <w:lang w:eastAsia="tr-TR"/>
                    </w:rPr>
                    <w:t>YÖNETMELİK</w:t>
                  </w:r>
                </w:p>
              </w:tc>
            </w:tr>
            <w:tr w:rsidR="005D32B9" w:rsidRPr="005D32B9">
              <w:trPr>
                <w:trHeight w:val="480"/>
                <w:jc w:val="center"/>
              </w:trPr>
              <w:tc>
                <w:tcPr>
                  <w:tcW w:w="8789" w:type="dxa"/>
                  <w:gridSpan w:val="3"/>
                  <w:vAlign w:val="center"/>
                </w:tcPr>
                <w:p w:rsidR="005D32B9" w:rsidRPr="005D32B9" w:rsidRDefault="005D32B9" w:rsidP="005D32B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5D32B9">
                    <w:rPr>
                      <w:rFonts w:ascii="Times New Roman" w:eastAsia="Times New Roman" w:hAnsi="Times New Roman" w:cs="Times New Roman"/>
                      <w:sz w:val="18"/>
                      <w:szCs w:val="18"/>
                      <w:u w:val="single"/>
                      <w:lang w:eastAsia="tr-TR"/>
                    </w:rPr>
                    <w:t>Gümrük ve Ticaret Bakanlığından:</w:t>
                  </w:r>
                </w:p>
                <w:p w:rsidR="005D32B9" w:rsidRPr="005D32B9" w:rsidRDefault="005D32B9" w:rsidP="005D32B9">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5D32B9">
                    <w:rPr>
                      <w:rFonts w:ascii="Times New Roman" w:eastAsia="Times New Roman" w:hAnsi="Times New Roman" w:cs="Times New Roman"/>
                      <w:b/>
                      <w:bCs/>
                      <w:sz w:val="18"/>
                      <w:szCs w:val="18"/>
                      <w:lang w:eastAsia="tr-TR"/>
                    </w:rPr>
                    <w:t>GÜMRÜK YÖNETMELİĞİNDE DEĞİŞİKLİK YAPILMASINA</w:t>
                  </w:r>
                </w:p>
                <w:p w:rsidR="005D32B9" w:rsidRPr="005D32B9" w:rsidRDefault="005D32B9" w:rsidP="005D32B9">
                  <w:pPr>
                    <w:tabs>
                      <w:tab w:val="left" w:pos="566"/>
                    </w:tabs>
                    <w:spacing w:after="113" w:line="240" w:lineRule="exact"/>
                    <w:jc w:val="center"/>
                    <w:rPr>
                      <w:rFonts w:ascii="Times New Roman" w:eastAsia="Times New Roman" w:hAnsi="Times New Roman" w:cs="Times New Roman"/>
                      <w:b/>
                      <w:bCs/>
                      <w:sz w:val="18"/>
                      <w:szCs w:val="18"/>
                      <w:lang w:eastAsia="tr-TR"/>
                    </w:rPr>
                  </w:pPr>
                  <w:r w:rsidRPr="005D32B9">
                    <w:rPr>
                      <w:rFonts w:ascii="Times New Roman" w:eastAsia="Times New Roman" w:hAnsi="Times New Roman" w:cs="Times New Roman"/>
                      <w:b/>
                      <w:bCs/>
                      <w:sz w:val="18"/>
                      <w:szCs w:val="18"/>
                      <w:lang w:eastAsia="tr-TR"/>
                    </w:rPr>
                    <w:t>DAİR YÖNETMELİK</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bCs/>
                      <w:sz w:val="18"/>
                      <w:szCs w:val="18"/>
                      <w:lang w:eastAsia="tr-TR"/>
                    </w:rPr>
                    <w:t>MADDE 1 –</w:t>
                  </w:r>
                  <w:r w:rsidRPr="005D32B9">
                    <w:rPr>
                      <w:rFonts w:ascii="Times New Roman" w:eastAsia="Times New Roman" w:hAnsi="Times New Roman" w:cs="Times New Roman"/>
                      <w:sz w:val="18"/>
                      <w:szCs w:val="18"/>
                      <w:lang w:eastAsia="tr-TR"/>
                    </w:rPr>
                    <w:t xml:space="preserve"> </w:t>
                  </w:r>
                  <w:proofErr w:type="gramStart"/>
                  <w:r w:rsidRPr="005D32B9">
                    <w:rPr>
                      <w:rFonts w:ascii="Times New Roman" w:eastAsia="Times New Roman" w:hAnsi="Times New Roman" w:cs="Times New Roman"/>
                      <w:sz w:val="18"/>
                      <w:szCs w:val="18"/>
                      <w:lang w:eastAsia="tr-TR"/>
                    </w:rPr>
                    <w:t>7/10/2009</w:t>
                  </w:r>
                  <w:proofErr w:type="gramEnd"/>
                  <w:r w:rsidRPr="005D32B9">
                    <w:rPr>
                      <w:rFonts w:ascii="Times New Roman" w:eastAsia="Times New Roman" w:hAnsi="Times New Roman" w:cs="Times New Roman"/>
                      <w:sz w:val="18"/>
                      <w:szCs w:val="18"/>
                      <w:lang w:eastAsia="tr-TR"/>
                    </w:rPr>
                    <w:t xml:space="preserve"> tarihli ve 27369 mükerrer sayılı Resmî Gazete’de yayımlanan Gümrük Yönetmeliğinin 51 inci maddesinin onuncu fıkrasında yer alan “de bir örneğinin” ibaresi “Bakanlıkça belirlenen veri alanlarının” olarak değiştirilmiştir.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2 –</w:t>
                  </w:r>
                  <w:r w:rsidRPr="005D32B9">
                    <w:rPr>
                      <w:rFonts w:ascii="Times New Roman" w:eastAsia="Times New Roman" w:hAnsi="Times New Roman" w:cs="Times New Roman"/>
                      <w:sz w:val="18"/>
                      <w:szCs w:val="18"/>
                      <w:lang w:eastAsia="tr-TR"/>
                    </w:rPr>
                    <w:t xml:space="preserve"> Aynı Yönetmeliğin 72/Ş maddesinin birinci fıkrası aşağıdaki şekilde değiştirilmiştir.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“(1) Kanunun 218 inci maddesinde belirtilen işleticiler;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a) Gümrük gözetim ve kontrolü işlemlerinin yapılmasını gerçekleştirmek üzere bedelsiz olarak;</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1) Eşya, yolcu ve araçların fiziki aramasının etkin bir şekilde yapılabileceği kapalı arama tesisleri ile gümrük muayenesinin yapılabileceği uygun yerlerin teminini,</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2) Eşya, yolcu ve taşıt trafiğine ilişkin olarak kullandıkları otomasyon sistemlerine, yazılımlara ve CCTV kamera sistemlerine gümrük idaresince erişimin sağlanması ve/veya bunlardan gümrük idaresince kullanılan sistemlere veri aktarımının düzenli ve kesintisiz olarak yapılmasını,</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 xml:space="preserve">3) Birinci alt bentte belirtilen yer ve tesislerin bakım ve onarımlarının gerçekleştirilmesi ile ikinci alt bentte belirtilen sistemlerin düzenli olarak işletilmesi, güncellenmesi ve Bakanlık sistemleriyle uyumlu hale getirilmesini,  </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4) 72 ve 72/S maddelerinde belirtilen gözetim önlemleri ile kişi, eşya ve taşıtların gümrük işlemleri tamamlanmadan gümrüklü yer ve sahalardan çıkmalarını önlemeye yönelik gümrük idaresince talep edilen gerekli tedbirlerin alınmasını,</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D32B9">
                    <w:rPr>
                      <w:rFonts w:ascii="Times New Roman" w:eastAsia="Times New Roman" w:hAnsi="Times New Roman" w:cs="Times New Roman"/>
                      <w:sz w:val="18"/>
                      <w:szCs w:val="18"/>
                      <w:lang w:eastAsia="tr-TR"/>
                    </w:rPr>
                    <w:t>sağlamak</w:t>
                  </w:r>
                  <w:proofErr w:type="gramEnd"/>
                  <w:r w:rsidRPr="005D32B9">
                    <w:rPr>
                      <w:rFonts w:ascii="Times New Roman" w:eastAsia="Times New Roman" w:hAnsi="Times New Roman" w:cs="Times New Roman"/>
                      <w:sz w:val="18"/>
                      <w:szCs w:val="18"/>
                      <w:lang w:eastAsia="tr-TR"/>
                    </w:rPr>
                    <w:t>,</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b) Gümrük idaresince bilgisayar veri işleme tekniği yoluyla iletilen veri, mesaj ve talimatların gereğini yerine getirmek,</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c) Aksi belirtilmedikçe, gümrük idaresince bildirilen ve gizli tutulması istenilen bilgileri açıklamamak,</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D32B9">
                    <w:rPr>
                      <w:rFonts w:ascii="Times New Roman" w:eastAsia="Times New Roman" w:hAnsi="Times New Roman" w:cs="Times New Roman"/>
                      <w:sz w:val="18"/>
                      <w:szCs w:val="18"/>
                      <w:lang w:eastAsia="tr-TR"/>
                    </w:rPr>
                    <w:t>ile</w:t>
                  </w:r>
                  <w:proofErr w:type="gramEnd"/>
                  <w:r w:rsidRPr="005D32B9">
                    <w:rPr>
                      <w:rFonts w:ascii="Times New Roman" w:eastAsia="Times New Roman" w:hAnsi="Times New Roman" w:cs="Times New Roman"/>
                      <w:sz w:val="18"/>
                      <w:szCs w:val="18"/>
                      <w:lang w:eastAsia="tr-TR"/>
                    </w:rPr>
                    <w:t xml:space="preserve"> yükümlüdürler.”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3 –</w:t>
                  </w:r>
                  <w:r w:rsidRPr="005D32B9">
                    <w:rPr>
                      <w:rFonts w:ascii="Times New Roman" w:eastAsia="Times New Roman" w:hAnsi="Times New Roman" w:cs="Times New Roman"/>
                      <w:sz w:val="18"/>
                      <w:szCs w:val="18"/>
                      <w:lang w:eastAsia="tr-TR"/>
                    </w:rPr>
                    <w:t xml:space="preserve"> Aynı Yönetmeliğin 79 uncu maddesinin ikinci fıkrası aşağıdaki şekilde değiştirilmiştir.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D32B9">
                    <w:rPr>
                      <w:rFonts w:ascii="Times New Roman" w:eastAsia="Times New Roman" w:hAnsi="Times New Roman" w:cs="Times New Roman"/>
                      <w:sz w:val="18"/>
                      <w:szCs w:val="18"/>
                      <w:lang w:eastAsia="tr-TR"/>
                    </w:rPr>
                    <w:t xml:space="preserve">“(2) Ağır ve havaleli eşyanın konulmasına mahsus olmak üzere, limanlar gibi gümrük işlemlerinin yapıldığı yerlerde bulunan geçici depolama yerlerinin mütemmim cüz’ü niteliğindeki açık alanlar; yolcu eşyasının, yolcu beraberinde getirilip gümrüğe sunulmasından sonra gümrükçe onaylanmış bir işlem veya kullanıma tabi tutuluncaya kadar konulduğu gümrük ambarları ile bu ambarların mütemmim cüz’ü niteliğindeki ithalat vergilerinden tam muafiyet suretiyle geçici ithal edilen ve yurt dışı edilmek ya da gümrükçe onaylanmış bir işlem veya kullanıma tabi tutulmak üzere gümrük idarelerince teslim alınan kişisel kullanıma mahsus kara taşıtlarının konulduğu yerler de geçici depolama yeri addolunur. </w:t>
                  </w:r>
                  <w:proofErr w:type="gramEnd"/>
                  <w:r w:rsidRPr="005D32B9">
                    <w:rPr>
                      <w:rFonts w:ascii="Times New Roman" w:eastAsia="Times New Roman" w:hAnsi="Times New Roman" w:cs="Times New Roman"/>
                      <w:sz w:val="18"/>
                      <w:szCs w:val="18"/>
                      <w:lang w:eastAsia="tr-TR"/>
                    </w:rPr>
                    <w:t>Yolcu eşyası ve taşıtlar buralarda üç ay kalabilir. Bu süre, talep halinde mücbir sebep belgesi aranmaksızın ilgili gümrük müdürlüğünce üç aya kadar uzatılabilir.”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4 –</w:t>
                  </w:r>
                  <w:r w:rsidRPr="005D32B9">
                    <w:rPr>
                      <w:rFonts w:ascii="Times New Roman" w:eastAsia="Times New Roman" w:hAnsi="Times New Roman" w:cs="Times New Roman"/>
                      <w:sz w:val="18"/>
                      <w:szCs w:val="18"/>
                      <w:lang w:eastAsia="tr-TR"/>
                    </w:rPr>
                    <w:t xml:space="preserve"> Aynı Yönetmeliğin 86 </w:t>
                  </w:r>
                  <w:proofErr w:type="spellStart"/>
                  <w:r w:rsidRPr="005D32B9">
                    <w:rPr>
                      <w:rFonts w:ascii="Times New Roman" w:eastAsia="Times New Roman" w:hAnsi="Times New Roman" w:cs="Times New Roman"/>
                      <w:sz w:val="18"/>
                      <w:szCs w:val="18"/>
                      <w:lang w:eastAsia="tr-TR"/>
                    </w:rPr>
                    <w:t>ncı</w:t>
                  </w:r>
                  <w:proofErr w:type="spellEnd"/>
                  <w:r w:rsidRPr="005D32B9">
                    <w:rPr>
                      <w:rFonts w:ascii="Times New Roman" w:eastAsia="Times New Roman" w:hAnsi="Times New Roman" w:cs="Times New Roman"/>
                      <w:sz w:val="18"/>
                      <w:szCs w:val="18"/>
                      <w:lang w:eastAsia="tr-TR"/>
                    </w:rPr>
                    <w:t xml:space="preserve"> maddesinin ikinci fıkrasının birinci cümlesi aşağıdaki şekilde değiştirilmiştir.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 xml:space="preserve">“Kanunun 46 </w:t>
                  </w:r>
                  <w:proofErr w:type="spellStart"/>
                  <w:r w:rsidRPr="005D32B9">
                    <w:rPr>
                      <w:rFonts w:ascii="Times New Roman" w:eastAsia="Times New Roman" w:hAnsi="Times New Roman" w:cs="Times New Roman"/>
                      <w:sz w:val="18"/>
                      <w:szCs w:val="18"/>
                      <w:lang w:eastAsia="tr-TR"/>
                    </w:rPr>
                    <w:t>ncı</w:t>
                  </w:r>
                  <w:proofErr w:type="spellEnd"/>
                  <w:r w:rsidRPr="005D32B9">
                    <w:rPr>
                      <w:rFonts w:ascii="Times New Roman" w:eastAsia="Times New Roman" w:hAnsi="Times New Roman" w:cs="Times New Roman"/>
                      <w:sz w:val="18"/>
                      <w:szCs w:val="18"/>
                      <w:lang w:eastAsia="tr-TR"/>
                    </w:rPr>
                    <w:t xml:space="preserve"> ve 48 inci maddeleri ile bu Yönetmeliğin 76 </w:t>
                  </w:r>
                  <w:proofErr w:type="spellStart"/>
                  <w:r w:rsidRPr="005D32B9">
                    <w:rPr>
                      <w:rFonts w:ascii="Times New Roman" w:eastAsia="Times New Roman" w:hAnsi="Times New Roman" w:cs="Times New Roman"/>
                      <w:sz w:val="18"/>
                      <w:szCs w:val="18"/>
                      <w:lang w:eastAsia="tr-TR"/>
                    </w:rPr>
                    <w:t>ncı</w:t>
                  </w:r>
                  <w:proofErr w:type="spellEnd"/>
                  <w:r w:rsidRPr="005D32B9">
                    <w:rPr>
                      <w:rFonts w:ascii="Times New Roman" w:eastAsia="Times New Roman" w:hAnsi="Times New Roman" w:cs="Times New Roman"/>
                      <w:sz w:val="18"/>
                      <w:szCs w:val="18"/>
                      <w:lang w:eastAsia="tr-TR"/>
                    </w:rPr>
                    <w:t xml:space="preserve"> ve 79 uncu maddelerinde belirtilen süreler içerisinde gümrükçe onaylanmış bir işlem veya kullanım belirlenerek buna ilişkin işlemlere başlanmayan eşya ile kişisel </w:t>
                  </w:r>
                  <w:r w:rsidRPr="005D32B9">
                    <w:rPr>
                      <w:rFonts w:ascii="Times New Roman" w:eastAsia="Times New Roman" w:hAnsi="Times New Roman" w:cs="Times New Roman"/>
                      <w:sz w:val="18"/>
                      <w:szCs w:val="18"/>
                      <w:lang w:eastAsia="tr-TR"/>
                    </w:rPr>
                    <w:lastRenderedPageBreak/>
                    <w:t>kullanıma mahsus kara taşıtları hakkında herhangi bir adli veya idari takibat olmaması halinde tasfiye hükümleri uygulanır.”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5 –</w:t>
                  </w:r>
                  <w:r w:rsidRPr="005D32B9">
                    <w:rPr>
                      <w:rFonts w:ascii="Times New Roman" w:eastAsia="Times New Roman" w:hAnsi="Times New Roman" w:cs="Times New Roman"/>
                      <w:sz w:val="18"/>
                      <w:szCs w:val="18"/>
                      <w:lang w:eastAsia="tr-TR"/>
                    </w:rPr>
                    <w:t xml:space="preserve"> Aynı Yönetmeliğin 96 </w:t>
                  </w:r>
                  <w:proofErr w:type="spellStart"/>
                  <w:r w:rsidRPr="005D32B9">
                    <w:rPr>
                      <w:rFonts w:ascii="Times New Roman" w:eastAsia="Times New Roman" w:hAnsi="Times New Roman" w:cs="Times New Roman"/>
                      <w:sz w:val="18"/>
                      <w:szCs w:val="18"/>
                      <w:lang w:eastAsia="tr-TR"/>
                    </w:rPr>
                    <w:t>ncı</w:t>
                  </w:r>
                  <w:proofErr w:type="spellEnd"/>
                  <w:r w:rsidRPr="005D32B9">
                    <w:rPr>
                      <w:rFonts w:ascii="Times New Roman" w:eastAsia="Times New Roman" w:hAnsi="Times New Roman" w:cs="Times New Roman"/>
                      <w:sz w:val="18"/>
                      <w:szCs w:val="18"/>
                      <w:lang w:eastAsia="tr-TR"/>
                    </w:rPr>
                    <w:t xml:space="preserve"> maddesinin ikinci fıkrası aşağıdaki şekilde değiştirilmiştir.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“(2) 333 üncü maddenin birinci, ikinci ve beşinci fıkra hükümleri aynı zamanda geçici depolama işlemlerinde de uygulanır. Eşyanın devri ile birlikte gümrük vergileri ile para cezaları da dâhil olmak üzere eşya ile ilgili hukuki sorumluluklar devralana geçer.”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6 –</w:t>
                  </w:r>
                  <w:r w:rsidRPr="005D32B9">
                    <w:rPr>
                      <w:rFonts w:ascii="Times New Roman" w:eastAsia="Times New Roman" w:hAnsi="Times New Roman" w:cs="Times New Roman"/>
                      <w:sz w:val="18"/>
                      <w:szCs w:val="18"/>
                      <w:lang w:eastAsia="tr-TR"/>
                    </w:rPr>
                    <w:t xml:space="preserve"> Aynı Yönetmeliğin 196 </w:t>
                  </w:r>
                  <w:proofErr w:type="spellStart"/>
                  <w:r w:rsidRPr="005D32B9">
                    <w:rPr>
                      <w:rFonts w:ascii="Times New Roman" w:eastAsia="Times New Roman" w:hAnsi="Times New Roman" w:cs="Times New Roman"/>
                      <w:sz w:val="18"/>
                      <w:szCs w:val="18"/>
                      <w:lang w:eastAsia="tr-TR"/>
                    </w:rPr>
                    <w:t>ncı</w:t>
                  </w:r>
                  <w:proofErr w:type="spellEnd"/>
                  <w:r w:rsidRPr="005D32B9">
                    <w:rPr>
                      <w:rFonts w:ascii="Times New Roman" w:eastAsia="Times New Roman" w:hAnsi="Times New Roman" w:cs="Times New Roman"/>
                      <w:sz w:val="18"/>
                      <w:szCs w:val="18"/>
                      <w:lang w:eastAsia="tr-TR"/>
                    </w:rPr>
                    <w:t xml:space="preserve"> maddesine aşağıdaki fıkra eklenmiştir.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D32B9">
                    <w:rPr>
                      <w:rFonts w:ascii="Times New Roman" w:eastAsia="Times New Roman" w:hAnsi="Times New Roman" w:cs="Times New Roman"/>
                      <w:sz w:val="18"/>
                      <w:szCs w:val="18"/>
                      <w:lang w:eastAsia="tr-TR"/>
                    </w:rPr>
                    <w:t xml:space="preserve">“(7) Özel Tüketim Vergisi Kanunu eki (I) sayılı liste kapsamında yer alan eşya hariç olmak üzere birinci fıkrada belirtilen eşyanın transit rejimi beyanında bulunulduğu durumda, beyanın belge kontrolüne tabi tutulması ya da fiziki muayeneye tabi tutulan eşyanın niteliği itibarıyla gümrük tarife istatistik pozisyonunun tespitinin mümkün olması halinde eşya </w:t>
                  </w:r>
                  <w:proofErr w:type="spellStart"/>
                  <w:r w:rsidRPr="005D32B9">
                    <w:rPr>
                      <w:rFonts w:ascii="Times New Roman" w:eastAsia="Times New Roman" w:hAnsi="Times New Roman" w:cs="Times New Roman"/>
                      <w:sz w:val="18"/>
                      <w:szCs w:val="18"/>
                      <w:lang w:eastAsia="tr-TR"/>
                    </w:rPr>
                    <w:t>laboratuvar</w:t>
                  </w:r>
                  <w:proofErr w:type="spellEnd"/>
                  <w:r w:rsidRPr="005D32B9">
                    <w:rPr>
                      <w:rFonts w:ascii="Times New Roman" w:eastAsia="Times New Roman" w:hAnsi="Times New Roman" w:cs="Times New Roman"/>
                      <w:sz w:val="18"/>
                      <w:szCs w:val="18"/>
                      <w:lang w:eastAsia="tr-TR"/>
                    </w:rPr>
                    <w:t xml:space="preserve"> tahliline tabi tutulmaz. </w:t>
                  </w:r>
                  <w:proofErr w:type="gramEnd"/>
                  <w:r w:rsidRPr="005D32B9">
                    <w:rPr>
                      <w:rFonts w:ascii="Times New Roman" w:eastAsia="Times New Roman" w:hAnsi="Times New Roman" w:cs="Times New Roman"/>
                      <w:sz w:val="18"/>
                      <w:szCs w:val="18"/>
                      <w:lang w:eastAsia="tr-TR"/>
                    </w:rPr>
                    <w:t xml:space="preserve">Ayrıca, transit rejimine tabi tutulan birinci fıkranın (a) bendinde belirtilen eşyanın ayniyetinin korunmasına ilişkin usul ve esasların Bakanlıkça belirlendiği durumlarda, ilgili usul ve esaslar çerçevesinde işlem yapılır.” </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7 –</w:t>
                  </w:r>
                  <w:r w:rsidRPr="005D32B9">
                    <w:rPr>
                      <w:rFonts w:ascii="Times New Roman" w:eastAsia="Times New Roman" w:hAnsi="Times New Roman" w:cs="Times New Roman"/>
                      <w:sz w:val="18"/>
                      <w:szCs w:val="18"/>
                      <w:lang w:eastAsia="tr-TR"/>
                    </w:rPr>
                    <w:t xml:space="preserve"> Aynı Yönetmeliğin 199 uncu maddesinin birinci fıkrasının (ç) bendi aşağıdaki şekilde değiştirilmiştir.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“ç) Kapalı kaplar içine veya şişelere konan numunelerin ağızları numuneyi alan muayene ile görevli memur tarafından güvenlik mührü ya da eritilmiş mum üzerine okunaklı bir şekilde tatbik edilen mühürle kapatılır. Mum mühür tatbik edilecek numunelerin mühürlenmesinde Bakanlık tarafından bu amaçla temin edilerek personele teslim edilen şahsi sicil numarasını taşıyan mühür kullanılır. Ayrıca güvenlik bantlı ve numaralandırılmış torbalar kullanılabilir.”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8 –</w:t>
                  </w:r>
                  <w:r w:rsidRPr="005D32B9">
                    <w:rPr>
                      <w:rFonts w:ascii="Times New Roman" w:eastAsia="Times New Roman" w:hAnsi="Times New Roman" w:cs="Times New Roman"/>
                      <w:sz w:val="18"/>
                      <w:szCs w:val="18"/>
                      <w:lang w:eastAsia="tr-TR"/>
                    </w:rPr>
                    <w:t xml:space="preserve"> Aynı Yönetmeliğin 224 üncü maddesine aşağıdaki fıkralar eklenmiştir.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“(3) Genel yönetim kapsamındaki kamu idareleri, iktisadi devlet teşekkülleri ve kamu iktisadi kuruluşları ile sermayesinin tamamı bir iktisadi devlet teşekkülüne veya kamu iktisadi kuruluşuna ait bağlı müesseselerin başvurularında bu maddede belirtilen şartlar aranmaz.</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(4) Taşıma türlerine özgü basitleştirmelerde, bu maddede sayılan koşullara ek olarak aranacak özel koşullar ve bu maddede belirtilen şartların aranmayacağı haller Bakanlıkça belirlenir.”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9 –</w:t>
                  </w:r>
                  <w:r w:rsidRPr="005D32B9">
                    <w:rPr>
                      <w:rFonts w:ascii="Times New Roman" w:eastAsia="Times New Roman" w:hAnsi="Times New Roman" w:cs="Times New Roman"/>
                      <w:sz w:val="18"/>
                      <w:szCs w:val="18"/>
                      <w:lang w:eastAsia="tr-TR"/>
                    </w:rPr>
                    <w:t xml:space="preserve"> Aynı Yönetmeliğin 232 </w:t>
                  </w:r>
                  <w:proofErr w:type="spellStart"/>
                  <w:r w:rsidRPr="005D32B9">
                    <w:rPr>
                      <w:rFonts w:ascii="Times New Roman" w:eastAsia="Times New Roman" w:hAnsi="Times New Roman" w:cs="Times New Roman"/>
                      <w:sz w:val="18"/>
                      <w:szCs w:val="18"/>
                      <w:lang w:eastAsia="tr-TR"/>
                    </w:rPr>
                    <w:t>nci</w:t>
                  </w:r>
                  <w:proofErr w:type="spellEnd"/>
                  <w:r w:rsidRPr="005D32B9">
                    <w:rPr>
                      <w:rFonts w:ascii="Times New Roman" w:eastAsia="Times New Roman" w:hAnsi="Times New Roman" w:cs="Times New Roman"/>
                      <w:sz w:val="18"/>
                      <w:szCs w:val="18"/>
                      <w:lang w:eastAsia="tr-TR"/>
                    </w:rPr>
                    <w:t xml:space="preserve"> maddesine aşağıdaki fıkra eklenmiştir.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“(3) Asıl sorumlu tarafından bilgisayarlı transit sistemi üzerinden yapılan ve beyanın yapıldığı tarihten itibaren otuz gün içerisinde kabul işlemi yapılmak üzere hareket idaresine sunulmayan transit beyanları hareket idaresince geri çevrilir. Bu durumdaki transit beyanları da dâhil olmak üzere, hareket idaresince kabul işlemi yapılmayan transit beyanlarının geri çevrilmesi durumunda Kanunun 241 inci maddesi uyarınca işlem yapılmaz.”</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10 –</w:t>
                  </w:r>
                  <w:r w:rsidRPr="005D32B9">
                    <w:rPr>
                      <w:rFonts w:ascii="Times New Roman" w:eastAsia="Times New Roman" w:hAnsi="Times New Roman" w:cs="Times New Roman"/>
                      <w:sz w:val="18"/>
                      <w:szCs w:val="18"/>
                      <w:lang w:eastAsia="tr-TR"/>
                    </w:rPr>
                    <w:t xml:space="preserve"> Aynı Yönetmeliğin 264 üncü maddesi aşağıdaki şekilde değiştirilmiştir.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D32B9">
                    <w:rPr>
                      <w:rFonts w:ascii="Times New Roman" w:eastAsia="Times New Roman" w:hAnsi="Times New Roman" w:cs="Times New Roman"/>
                      <w:b/>
                      <w:sz w:val="18"/>
                      <w:szCs w:val="18"/>
                      <w:lang w:eastAsia="tr-TR"/>
                    </w:rPr>
                    <w:t>“MADDE 264 –</w:t>
                  </w:r>
                  <w:r w:rsidRPr="005D32B9">
                    <w:rPr>
                      <w:rFonts w:ascii="Times New Roman" w:eastAsia="Times New Roman" w:hAnsi="Times New Roman" w:cs="Times New Roman"/>
                      <w:sz w:val="18"/>
                      <w:szCs w:val="18"/>
                      <w:lang w:eastAsia="tr-TR"/>
                    </w:rPr>
                    <w:t xml:space="preserve"> (1) Transit rejimi çerçevesinde eşyanın havayolu ile basitleştirilmiş usulde taşınmasına ilişkin yapılacak izin başvurusunda, başvuru sahibinin serbest bölgeler hariç Türkiye Gümrük Bölgesinde en az iki yıldır yerleşik olması, başkası adına ve namına hareket etmemesi, düzenli olarak transit işlemleri yapması ve Yönetim Kurulu üyeleri, sermayesinin yüzde onundan fazlasına sahip gerçek kişiler ile gümrük ve dış ticaret işlemlerinde temsil yetkisini haiz çalışanlarının 224 üncü maddenin birinci fıkrasının (c) bendinde belirtilen mevzuat hükümleri uyarınca kesinleşmiş ceza veya mahkûmiyet kararının bulunmaması şartı aranır. </w:t>
                  </w:r>
                  <w:proofErr w:type="gramEnd"/>
                  <w:r w:rsidRPr="005D32B9">
                    <w:rPr>
                      <w:rFonts w:ascii="Times New Roman" w:eastAsia="Times New Roman" w:hAnsi="Times New Roman" w:cs="Times New Roman"/>
                      <w:sz w:val="18"/>
                      <w:szCs w:val="18"/>
                      <w:lang w:eastAsia="tr-TR"/>
                    </w:rPr>
                    <w:t>Bu kapsamda yapılacak başvurularda, 224 üncü maddede belirtilen diğer koşullar aranmaz.</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 xml:space="preserve">(2) Birinci fıkrada belirtilen koşulları taşıdığını 225 inci maddenin ikinci fıkrasının ilgili bentlerinde sayılan belgeler ile tevsik eden havayolu firmalarına Bakanlıkça basitleştirme izni verilebilir. Basitleştirme izni kapsamında hareket ve varış idaresinde yapılacak işlemler, izin sahibi asıl sorumlunun yükümlülükleri ve izne ilişkin diğer hususlar </w:t>
                  </w:r>
                  <w:r w:rsidRPr="005D32B9">
                    <w:rPr>
                      <w:rFonts w:ascii="Times New Roman" w:eastAsia="Times New Roman" w:hAnsi="Times New Roman" w:cs="Times New Roman"/>
                      <w:sz w:val="18"/>
                      <w:szCs w:val="18"/>
                      <w:lang w:eastAsia="tr-TR"/>
                    </w:rPr>
                    <w:lastRenderedPageBreak/>
                    <w:t>Bakanlıkça belirlenir.”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11 –</w:t>
                  </w:r>
                  <w:r w:rsidRPr="005D32B9">
                    <w:rPr>
                      <w:rFonts w:ascii="Times New Roman" w:eastAsia="Times New Roman" w:hAnsi="Times New Roman" w:cs="Times New Roman"/>
                      <w:sz w:val="18"/>
                      <w:szCs w:val="18"/>
                      <w:lang w:eastAsia="tr-TR"/>
                    </w:rPr>
                    <w:t xml:space="preserve"> Aynı Yönetmeliğin 323 üncü maddesinin ikinci fıkrasının (c) bendi aşağıdaki şekilde değiştirilmiştir. </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“c) 359 uncu maddenin birinci fıkrasında belirtilen işlem görmüş ikincil ürünlerin serbest dolaşıma giriş rejimine tabi tutulması durumunda,”</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12 –</w:t>
                  </w:r>
                  <w:r w:rsidRPr="005D32B9">
                    <w:rPr>
                      <w:rFonts w:ascii="Times New Roman" w:eastAsia="Times New Roman" w:hAnsi="Times New Roman" w:cs="Times New Roman"/>
                      <w:sz w:val="18"/>
                      <w:szCs w:val="18"/>
                      <w:lang w:eastAsia="tr-TR"/>
                    </w:rPr>
                    <w:t xml:space="preserve"> Aynı Yönetmeliğin 333 üncü maddesine aşağıdaki fıkra eklenmiştir.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 xml:space="preserve">“(5) Devralanın onaylanmış kişi veya yetkilendirilmiş yükümlü statüsüne sahip olması ya da aşağıdaki koşulları taşıması ve ilgili Gümrük ve Ticaret Bölge Müdürlüklerince yıllık kontroller sonucunda (b) ile (ç) bentlerindeki koşulların sağlandığının tespit edilmesi halinde gümrük antrepolarında depolanan </w:t>
                  </w:r>
                  <w:proofErr w:type="spellStart"/>
                  <w:r w:rsidRPr="005D32B9">
                    <w:rPr>
                      <w:rFonts w:ascii="Times New Roman" w:eastAsia="Times New Roman" w:hAnsi="Times New Roman" w:cs="Times New Roman"/>
                      <w:sz w:val="18"/>
                      <w:szCs w:val="18"/>
                      <w:lang w:eastAsia="tr-TR"/>
                    </w:rPr>
                    <w:t>solvent</w:t>
                  </w:r>
                  <w:proofErr w:type="spellEnd"/>
                  <w:r w:rsidRPr="005D32B9">
                    <w:rPr>
                      <w:rFonts w:ascii="Times New Roman" w:eastAsia="Times New Roman" w:hAnsi="Times New Roman" w:cs="Times New Roman"/>
                      <w:sz w:val="18"/>
                      <w:szCs w:val="18"/>
                      <w:lang w:eastAsia="tr-TR"/>
                    </w:rPr>
                    <w:t xml:space="preserve"> ve </w:t>
                  </w:r>
                  <w:proofErr w:type="gramStart"/>
                  <w:r w:rsidRPr="005D32B9">
                    <w:rPr>
                      <w:rFonts w:ascii="Times New Roman" w:eastAsia="Times New Roman" w:hAnsi="Times New Roman" w:cs="Times New Roman"/>
                      <w:sz w:val="18"/>
                      <w:szCs w:val="18"/>
                      <w:lang w:eastAsia="tr-TR"/>
                    </w:rPr>
                    <w:t>baz</w:t>
                  </w:r>
                  <w:proofErr w:type="gramEnd"/>
                  <w:r w:rsidRPr="005D32B9">
                    <w:rPr>
                      <w:rFonts w:ascii="Times New Roman" w:eastAsia="Times New Roman" w:hAnsi="Times New Roman" w:cs="Times New Roman"/>
                      <w:sz w:val="18"/>
                      <w:szCs w:val="18"/>
                      <w:lang w:eastAsia="tr-TR"/>
                    </w:rPr>
                    <w:t xml:space="preserve"> yağın satış suretiyle devrinde birinci fıkranın ikinci cümlesi uygulanmaz:</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a) Devralan firmanın en az iki yıldır faaliyette bulunması.</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b) Usulsüzlük ve vergi cezaları ile ilgili olarak;</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1) Geriye dönük son bir yıl içinde işlem gören beyanname sayısının % 2’sini aşan sayıda vergi kaybına neden olan gümrük mevzuatı ihlali nedeniyle ceza uygulanmamış olması,</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2) Geriye dönük son bir yıl içinde işlem gören beyanname sayısının % 5’ini aşan sayıda gümrük mevzuatının ihlali nedeniyle usulsüzlük cezası uygulanmamış olması.</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c) Gümrük ve vergi mevzuatları uyarınca haklarında ödenmemiş herhangi bir vergi, ceza ve fer’i amme borcu bulunmaması.</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 xml:space="preserve">ç) Yönetim Kurulu üyeleri, sermayesinin yüzde onundan fazlasına sahip gerçek kişiler ile gümrük ve dış ticaret işlemlerinde temsil yetkisini haiz çalışanlarının; devletin güvenliğine karşı suçlar, anayasal düzene ve bu düzenin işleyişine karşı suçlar, devlet sırlarına karşı suçlar ve casusluk, zimmet, irtikâp, rüşvet, güveni kötüye kullanma, hırsızlık, dolandırıcılık, sahtecilik, inancı kötüye kullanma, hileli iflas, yalan tanıklık, suç uydurma ve iftira suçları ile ihaleye fesat karıştırma, edimin ifasına fesat karıştırma, suçtan kaynaklanan mal varlığı değerlerini aklama suçlarından mülga </w:t>
                  </w:r>
                  <w:proofErr w:type="gramStart"/>
                  <w:r w:rsidRPr="005D32B9">
                    <w:rPr>
                      <w:rFonts w:ascii="Times New Roman" w:eastAsia="Times New Roman" w:hAnsi="Times New Roman" w:cs="Times New Roman"/>
                      <w:sz w:val="18"/>
                      <w:szCs w:val="18"/>
                      <w:lang w:eastAsia="tr-TR"/>
                    </w:rPr>
                    <w:t>1/3/1926</w:t>
                  </w:r>
                  <w:proofErr w:type="gramEnd"/>
                  <w:r w:rsidRPr="005D32B9">
                    <w:rPr>
                      <w:rFonts w:ascii="Times New Roman" w:eastAsia="Times New Roman" w:hAnsi="Times New Roman" w:cs="Times New Roman"/>
                      <w:sz w:val="18"/>
                      <w:szCs w:val="18"/>
                      <w:lang w:eastAsia="tr-TR"/>
                    </w:rPr>
                    <w:t xml:space="preserve"> tarihli ve 765 sayılı Türk Ceza Kanunu ile 26/9/2004 tarihli ve 5237 sayılı Türk Ceza Kanununa, vergi kaçakçılığı veya vergi kaçakçılığına teşebbüs suçlarından 4/1/1961 tarihli ve 213 sayılı Vergi Usul Kanununa, mülga 7/1/1932 tarihli ve 1918 sayılı Kaçakçılığın Men ve Takibine Dair Kanuna, mülga 10/7/2003 tarihli ve 4926 sayılı Kaçakçılıkla Mücadele Kanununa, 21/3/2007 tarihli ve 5607 sayılı Kaçakçılıkla Mücadele Kanununa, 19/4/1990 tarihli ve 3628 sayılı Mal Bildiriminde Bulunulması, Rüşvet ve Yolsuzluklarla Mücadele Kanununa, 20/2/1930 tarihli ve 1567 sayılı Türk Parasının Kıymetini Koruma Hakkında Kanuna, 4/12/2003 tarihli ve 5015 sayılı Petrol Piyasası Kanununa, 11/10/2006 tarihli ve 5549 sayılı Suç Gelirlerinin Aklanmasının Önlenmesi Hakkında Kanuna, 12/6/1933 tarihli ve 2313 sayılı Uyuşturucu Maddelerin Murakabesi Hakkında Kanuna, 3/6/1986 tarihli ve 3298 sayılı Uyuşturucu Maddelerle ilgili Kanuna muhalefetten ceza veya mahkumiyet kararı bulunmaması.”</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13 –</w:t>
                  </w:r>
                  <w:r w:rsidRPr="005D32B9">
                    <w:rPr>
                      <w:rFonts w:ascii="Times New Roman" w:eastAsia="Times New Roman" w:hAnsi="Times New Roman" w:cs="Times New Roman"/>
                      <w:sz w:val="18"/>
                      <w:szCs w:val="18"/>
                      <w:lang w:eastAsia="tr-TR"/>
                    </w:rPr>
                    <w:t xml:space="preserve"> Aynı Yönetmeliğin 476 </w:t>
                  </w:r>
                  <w:proofErr w:type="spellStart"/>
                  <w:r w:rsidRPr="005D32B9">
                    <w:rPr>
                      <w:rFonts w:ascii="Times New Roman" w:eastAsia="Times New Roman" w:hAnsi="Times New Roman" w:cs="Times New Roman"/>
                      <w:sz w:val="18"/>
                      <w:szCs w:val="18"/>
                      <w:lang w:eastAsia="tr-TR"/>
                    </w:rPr>
                    <w:t>ncı</w:t>
                  </w:r>
                  <w:proofErr w:type="spellEnd"/>
                  <w:r w:rsidRPr="005D32B9">
                    <w:rPr>
                      <w:rFonts w:ascii="Times New Roman" w:eastAsia="Times New Roman" w:hAnsi="Times New Roman" w:cs="Times New Roman"/>
                      <w:sz w:val="18"/>
                      <w:szCs w:val="18"/>
                      <w:lang w:eastAsia="tr-TR"/>
                    </w:rPr>
                    <w:t xml:space="preserve"> maddesinin birinci fıkrasında yer alan “farklı renkteki” ibaresi yürürlükten kaldırılmıştır.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14 –</w:t>
                  </w:r>
                  <w:r w:rsidRPr="005D32B9">
                    <w:rPr>
                      <w:rFonts w:ascii="Times New Roman" w:eastAsia="Times New Roman" w:hAnsi="Times New Roman" w:cs="Times New Roman"/>
                      <w:sz w:val="18"/>
                      <w:szCs w:val="18"/>
                      <w:lang w:eastAsia="tr-TR"/>
                    </w:rPr>
                    <w:t xml:space="preserve"> Aynı Yönetmeliğin 512 </w:t>
                  </w:r>
                  <w:proofErr w:type="spellStart"/>
                  <w:r w:rsidRPr="005D32B9">
                    <w:rPr>
                      <w:rFonts w:ascii="Times New Roman" w:eastAsia="Times New Roman" w:hAnsi="Times New Roman" w:cs="Times New Roman"/>
                      <w:sz w:val="18"/>
                      <w:szCs w:val="18"/>
                      <w:lang w:eastAsia="tr-TR"/>
                    </w:rPr>
                    <w:t>nci</w:t>
                  </w:r>
                  <w:proofErr w:type="spellEnd"/>
                  <w:r w:rsidRPr="005D32B9">
                    <w:rPr>
                      <w:rFonts w:ascii="Times New Roman" w:eastAsia="Times New Roman" w:hAnsi="Times New Roman" w:cs="Times New Roman"/>
                      <w:sz w:val="18"/>
                      <w:szCs w:val="18"/>
                      <w:lang w:eastAsia="tr-TR"/>
                    </w:rPr>
                    <w:t xml:space="preserve"> maddesine aşağıdaki fıkra eklenmiştir.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 xml:space="preserve">“(5) 517 </w:t>
                  </w:r>
                  <w:proofErr w:type="spellStart"/>
                  <w:r w:rsidRPr="005D32B9">
                    <w:rPr>
                      <w:rFonts w:ascii="Times New Roman" w:eastAsia="Times New Roman" w:hAnsi="Times New Roman" w:cs="Times New Roman"/>
                      <w:sz w:val="18"/>
                      <w:szCs w:val="18"/>
                      <w:lang w:eastAsia="tr-TR"/>
                    </w:rPr>
                    <w:t>nci</w:t>
                  </w:r>
                  <w:proofErr w:type="spellEnd"/>
                  <w:r w:rsidRPr="005D32B9">
                    <w:rPr>
                      <w:rFonts w:ascii="Times New Roman" w:eastAsia="Times New Roman" w:hAnsi="Times New Roman" w:cs="Times New Roman"/>
                      <w:sz w:val="18"/>
                      <w:szCs w:val="18"/>
                      <w:lang w:eastAsia="tr-TR"/>
                    </w:rPr>
                    <w:t xml:space="preserve"> maddenin dördüncü fıkrasında sayılan kişilerin, geçici depolama yeri açma ve işletme izin başvuruları ile geçici depolama yeri devir başvuruları, birinci fıkrada sayılan fiillere ilişkin gümrük idaresince sürdürülen </w:t>
                  </w:r>
                  <w:proofErr w:type="spellStart"/>
                  <w:r w:rsidRPr="005D32B9">
                    <w:rPr>
                      <w:rFonts w:ascii="Times New Roman" w:eastAsia="Times New Roman" w:hAnsi="Times New Roman" w:cs="Times New Roman"/>
                      <w:sz w:val="18"/>
                      <w:szCs w:val="18"/>
                      <w:lang w:eastAsia="tr-TR"/>
                    </w:rPr>
                    <w:t>suistimal</w:t>
                  </w:r>
                  <w:proofErr w:type="spellEnd"/>
                  <w:r w:rsidRPr="005D32B9">
                    <w:rPr>
                      <w:rFonts w:ascii="Times New Roman" w:eastAsia="Times New Roman" w:hAnsi="Times New Roman" w:cs="Times New Roman"/>
                      <w:sz w:val="18"/>
                      <w:szCs w:val="18"/>
                      <w:lang w:eastAsia="tr-TR"/>
                    </w:rPr>
                    <w:t>, yolsuzluk veya kaçakçılık kapsamında inceleme veya araştırmaya rastlanılması halinde inceleme veya araştırma sonuçlanıncaya kadar reddedilir.”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15 –</w:t>
                  </w:r>
                  <w:r w:rsidRPr="005D32B9">
                    <w:rPr>
                      <w:rFonts w:ascii="Times New Roman" w:eastAsia="Times New Roman" w:hAnsi="Times New Roman" w:cs="Times New Roman"/>
                      <w:sz w:val="18"/>
                      <w:szCs w:val="18"/>
                      <w:lang w:eastAsia="tr-TR"/>
                    </w:rPr>
                    <w:t xml:space="preserve"> Aynı Yönetmeliğin 517 </w:t>
                  </w:r>
                  <w:proofErr w:type="spellStart"/>
                  <w:r w:rsidRPr="005D32B9">
                    <w:rPr>
                      <w:rFonts w:ascii="Times New Roman" w:eastAsia="Times New Roman" w:hAnsi="Times New Roman" w:cs="Times New Roman"/>
                      <w:sz w:val="18"/>
                      <w:szCs w:val="18"/>
                      <w:lang w:eastAsia="tr-TR"/>
                    </w:rPr>
                    <w:t>nci</w:t>
                  </w:r>
                  <w:proofErr w:type="spellEnd"/>
                  <w:r w:rsidRPr="005D32B9">
                    <w:rPr>
                      <w:rFonts w:ascii="Times New Roman" w:eastAsia="Times New Roman" w:hAnsi="Times New Roman" w:cs="Times New Roman"/>
                      <w:sz w:val="18"/>
                      <w:szCs w:val="18"/>
                      <w:lang w:eastAsia="tr-TR"/>
                    </w:rPr>
                    <w:t xml:space="preserve"> maddesinin üçüncü fıkrasında yer alan “üçüncü” ibaresi “sekizinci” olarak değiştirilmiş, dördüncü fıkrasının sonuna aşağıdaki cümle ile maddenin sonuna aşağıdaki fıkralar eklenmiştir.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lastRenderedPageBreak/>
                    <w:t>“Bu süre geçtikten sonra, bu fıkrada sayılan kişilerin geçici depolama yeri açmak veya devralmak istemeleri halinde müracaatlar, ilgili bilgi, belge ve veriler dikkate alınarak Bakanlıkça sonuçlandırılır.”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“(5) Geçici depolama yeri işleticisinin taahhüt ve yükümlülüklerine aykırı hareket etmesi nedeniyle vergi kaybına neden olunması halinde geçici depolama izni geri alınabilir.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 xml:space="preserve">(6) Geçici depolama yerinde kaçakçılık gibi bir </w:t>
                  </w:r>
                  <w:proofErr w:type="spellStart"/>
                  <w:r w:rsidRPr="005D32B9">
                    <w:rPr>
                      <w:rFonts w:ascii="Times New Roman" w:eastAsia="Times New Roman" w:hAnsi="Times New Roman" w:cs="Times New Roman"/>
                      <w:sz w:val="18"/>
                      <w:szCs w:val="18"/>
                      <w:lang w:eastAsia="tr-TR"/>
                    </w:rPr>
                    <w:t>suistimal</w:t>
                  </w:r>
                  <w:proofErr w:type="spellEnd"/>
                  <w:r w:rsidRPr="005D32B9">
                    <w:rPr>
                      <w:rFonts w:ascii="Times New Roman" w:eastAsia="Times New Roman" w:hAnsi="Times New Roman" w:cs="Times New Roman"/>
                      <w:sz w:val="18"/>
                      <w:szCs w:val="18"/>
                      <w:lang w:eastAsia="tr-TR"/>
                    </w:rPr>
                    <w:t xml:space="preserve"> ve/veya yolsuzluk saptanması veya beşinci fıkrada belirtilen durum nedeniyle geçici depolama yeri açma ve işletme izni geri alınan kişilere, yeni bir geçici depolama yeri açma ve işletme izni verilmez.”</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16 –</w:t>
                  </w:r>
                  <w:r w:rsidRPr="005D32B9">
                    <w:rPr>
                      <w:rFonts w:ascii="Times New Roman" w:eastAsia="Times New Roman" w:hAnsi="Times New Roman" w:cs="Times New Roman"/>
                      <w:sz w:val="18"/>
                      <w:szCs w:val="18"/>
                      <w:lang w:eastAsia="tr-TR"/>
                    </w:rPr>
                    <w:t xml:space="preserve"> Aynı Yönetmeliğin 518 inci maddesine aşağıdaki fıkra eklenmiştir.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 xml:space="preserve">“(5) Antrepo açma ve işletme yatırım izni, izin ve devir başvuruları, 519 uncu maddenin birinci fıkrasının (c) bendinde sayılan fiillere ilişkin gümrük idaresince sürdürülen </w:t>
                  </w:r>
                  <w:proofErr w:type="spellStart"/>
                  <w:r w:rsidRPr="005D32B9">
                    <w:rPr>
                      <w:rFonts w:ascii="Times New Roman" w:eastAsia="Times New Roman" w:hAnsi="Times New Roman" w:cs="Times New Roman"/>
                      <w:sz w:val="18"/>
                      <w:szCs w:val="18"/>
                      <w:lang w:eastAsia="tr-TR"/>
                    </w:rPr>
                    <w:t>suistimal</w:t>
                  </w:r>
                  <w:proofErr w:type="spellEnd"/>
                  <w:r w:rsidRPr="005D32B9">
                    <w:rPr>
                      <w:rFonts w:ascii="Times New Roman" w:eastAsia="Times New Roman" w:hAnsi="Times New Roman" w:cs="Times New Roman"/>
                      <w:sz w:val="18"/>
                      <w:szCs w:val="18"/>
                      <w:lang w:eastAsia="tr-TR"/>
                    </w:rPr>
                    <w:t>, yolsuzluk veya kaçakçılık kapsamında bir inceleme veya araştırmaya rastlanılması halinde inceleme veya araştırma sonuçlanıncaya kadar reddedilir.”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17 –</w:t>
                  </w:r>
                  <w:r w:rsidRPr="005D32B9">
                    <w:rPr>
                      <w:rFonts w:ascii="Times New Roman" w:eastAsia="Times New Roman" w:hAnsi="Times New Roman" w:cs="Times New Roman"/>
                      <w:sz w:val="18"/>
                      <w:szCs w:val="18"/>
                      <w:lang w:eastAsia="tr-TR"/>
                    </w:rPr>
                    <w:t xml:space="preserve"> Aynı Yönetmeliğin 525 inci maddesinin altıncı fıkrasının sonuna aşağıdaki cümle ile maddenin sonuna aşağıdaki fıkralar eklenmiştir.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“Bu süre geçtikten sonra, bu fıkrada sayılan kişilerin antrepo açmak veya devralmak istemeleri halinde; müracaatlar, ilgili bilgi, belge ve veriler dikkate alınarak Bakanlıkça sonuçlandırılır.”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“(8) Antrepo işleticisinin taahhüt ve yükümlülüklerine aykırı hareket etmesi nedeniyle vergi kaybına neden olunması halinde antrepo açma ve işletme izni geri alınabilir.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 xml:space="preserve"> (9) Antrepoda kaçakçılık gibi bir </w:t>
                  </w:r>
                  <w:proofErr w:type="spellStart"/>
                  <w:r w:rsidRPr="005D32B9">
                    <w:rPr>
                      <w:rFonts w:ascii="Times New Roman" w:eastAsia="Times New Roman" w:hAnsi="Times New Roman" w:cs="Times New Roman"/>
                      <w:sz w:val="18"/>
                      <w:szCs w:val="18"/>
                      <w:lang w:eastAsia="tr-TR"/>
                    </w:rPr>
                    <w:t>suistimal</w:t>
                  </w:r>
                  <w:proofErr w:type="spellEnd"/>
                  <w:r w:rsidRPr="005D32B9">
                    <w:rPr>
                      <w:rFonts w:ascii="Times New Roman" w:eastAsia="Times New Roman" w:hAnsi="Times New Roman" w:cs="Times New Roman"/>
                      <w:sz w:val="18"/>
                      <w:szCs w:val="18"/>
                      <w:lang w:eastAsia="tr-TR"/>
                    </w:rPr>
                    <w:t xml:space="preserve"> ve/veya yolsuzluk saptanması veya sekizinci fıkrada belirtilen durum nedeniyle antrepo açma ve işletme izni geri alınan kişilere, yeni bir antrepo açma ve işletme izni verilmez.”</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 xml:space="preserve">MADDE 18 – </w:t>
                  </w:r>
                  <w:r w:rsidRPr="005D32B9">
                    <w:rPr>
                      <w:rFonts w:ascii="Times New Roman" w:eastAsia="Times New Roman" w:hAnsi="Times New Roman" w:cs="Times New Roman"/>
                      <w:sz w:val="18"/>
                      <w:szCs w:val="18"/>
                      <w:lang w:eastAsia="tr-TR"/>
                    </w:rPr>
                    <w:t>Aynı Yönetmeliğin 563 üncü maddesinin altıncı fıkrasının sonuna aşağıdaki cümleler eklenmiştir.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sz w:val="18"/>
                      <w:szCs w:val="18"/>
                      <w:lang w:eastAsia="tr-TR"/>
                    </w:rPr>
                    <w:t>“Gümrük müşavir ve müşavir yardımcıları dışındaki kişiler, gümrük müşavirliği yapacak olan tüzel kişilere ortak olamayacakları gibi, yönetim organında da görev alamazlar. Gümrük müşavir ve müşavir yardımcıları dışındaki kişilere şirketi temsil ve ilzam yetkisi verilemez.”</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19 –</w:t>
                  </w:r>
                  <w:r w:rsidRPr="005D32B9">
                    <w:rPr>
                      <w:rFonts w:ascii="Times New Roman" w:eastAsia="Times New Roman" w:hAnsi="Times New Roman" w:cs="Times New Roman"/>
                      <w:sz w:val="18"/>
                      <w:szCs w:val="18"/>
                      <w:lang w:eastAsia="tr-TR"/>
                    </w:rPr>
                    <w:t xml:space="preserve"> Aynı Yönetmeliğin Ek-46’sı yürürlükten kaldırılmış ve Ek-77’si ekteki şekilde değiştirilmiştir.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MADDE 20 –</w:t>
                  </w:r>
                  <w:r w:rsidRPr="005D32B9">
                    <w:rPr>
                      <w:rFonts w:ascii="Times New Roman" w:eastAsia="Times New Roman" w:hAnsi="Times New Roman" w:cs="Times New Roman"/>
                      <w:sz w:val="18"/>
                      <w:szCs w:val="18"/>
                      <w:lang w:eastAsia="tr-TR"/>
                    </w:rPr>
                    <w:t xml:space="preserve"> Bu Yönetmelik yayımı tarihinde yürürlüğe girer.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r w:rsidRPr="005D32B9">
                    <w:rPr>
                      <w:rFonts w:ascii="Times New Roman" w:eastAsia="Times New Roman" w:hAnsi="Times New Roman" w:cs="Times New Roman"/>
                      <w:b/>
                      <w:sz w:val="18"/>
                      <w:szCs w:val="18"/>
                      <w:lang w:eastAsia="tr-TR"/>
                    </w:rPr>
                    <w:t xml:space="preserve">MADDE 21 – </w:t>
                  </w:r>
                  <w:r w:rsidRPr="005D32B9">
                    <w:rPr>
                      <w:rFonts w:ascii="Times New Roman" w:eastAsia="Times New Roman" w:hAnsi="Times New Roman" w:cs="Times New Roman"/>
                      <w:sz w:val="18"/>
                      <w:szCs w:val="18"/>
                      <w:lang w:eastAsia="tr-TR"/>
                    </w:rPr>
                    <w:t>Bu Yönetmelik hükümlerini Gümrük ve Ticaret Bakanı yürütür.</w:t>
                  </w:r>
                </w:p>
                <w:p w:rsidR="005D32B9" w:rsidRPr="005D32B9" w:rsidRDefault="005D32B9" w:rsidP="005D32B9">
                  <w:pPr>
                    <w:spacing w:before="100" w:beforeAutospacing="1" w:after="100" w:afterAutospacing="1" w:line="240" w:lineRule="exact"/>
                    <w:rPr>
                      <w:rFonts w:ascii="Times New Roman" w:eastAsia="Times New Roman" w:hAnsi="Times New Roman" w:cs="Times New Roman"/>
                      <w:sz w:val="18"/>
                      <w:szCs w:val="18"/>
                      <w:lang w:eastAsia="tr-TR"/>
                    </w:rPr>
                  </w:pPr>
                </w:p>
                <w:p w:rsidR="005D32B9" w:rsidRPr="005D32B9" w:rsidRDefault="005D32B9" w:rsidP="005D32B9">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5D32B9">
                      <w:rPr>
                        <w:rFonts w:ascii="Times New Roman" w:eastAsia="Times New Roman" w:hAnsi="Times New Roman" w:cs="Times New Roman"/>
                        <w:b/>
                        <w:bCs/>
                        <w:color w:val="0000FF"/>
                        <w:sz w:val="18"/>
                        <w:lang w:eastAsia="tr-TR"/>
                      </w:rPr>
                      <w:t>Eki için tıklayınız</w:t>
                    </w:r>
                  </w:hyperlink>
                </w:p>
                <w:p w:rsidR="005D32B9" w:rsidRPr="005D32B9" w:rsidRDefault="005D32B9" w:rsidP="005D32B9">
                  <w:pPr>
                    <w:spacing w:before="100" w:beforeAutospacing="1" w:after="100" w:afterAutospacing="1" w:line="240" w:lineRule="auto"/>
                    <w:rPr>
                      <w:rFonts w:ascii="Arial" w:eastAsia="Times New Roman" w:hAnsi="Arial" w:cs="Arial"/>
                      <w:b/>
                      <w:color w:val="000080"/>
                      <w:sz w:val="18"/>
                      <w:szCs w:val="18"/>
                      <w:lang w:eastAsia="tr-TR"/>
                    </w:rPr>
                  </w:pPr>
                </w:p>
              </w:tc>
            </w:tr>
          </w:tbl>
          <w:p w:rsidR="005D32B9" w:rsidRPr="005D32B9" w:rsidRDefault="005D32B9" w:rsidP="005D32B9">
            <w:pPr>
              <w:spacing w:after="0" w:line="240" w:lineRule="auto"/>
              <w:jc w:val="center"/>
              <w:rPr>
                <w:rFonts w:ascii="Times New Roman" w:eastAsia="Times New Roman" w:hAnsi="Times New Roman" w:cs="Times New Roman"/>
                <w:sz w:val="20"/>
                <w:szCs w:val="20"/>
                <w:lang w:eastAsia="tr-TR"/>
              </w:rPr>
            </w:pPr>
          </w:p>
        </w:tc>
      </w:tr>
    </w:tbl>
    <w:p w:rsidR="005D32B9" w:rsidRPr="005D32B9" w:rsidRDefault="005D32B9" w:rsidP="005D32B9">
      <w:pPr>
        <w:spacing w:after="0" w:line="240" w:lineRule="auto"/>
        <w:jc w:val="center"/>
        <w:rPr>
          <w:rFonts w:ascii="Times New Roman" w:eastAsia="Times New Roman" w:hAnsi="Times New Roman" w:cs="Times New Roman"/>
          <w:sz w:val="24"/>
          <w:szCs w:val="24"/>
          <w:lang w:eastAsia="tr-TR"/>
        </w:rPr>
      </w:pPr>
    </w:p>
    <w:p w:rsidR="005C5DAF" w:rsidRDefault="005C5DAF"/>
    <w:sectPr w:rsidR="005C5DAF" w:rsidSect="005C5D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D32B9"/>
    <w:rsid w:val="005C5DAF"/>
    <w:rsid w:val="005D32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D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5D32B9"/>
    <w:rPr>
      <w:color w:val="0000FF"/>
      <w:u w:val="single"/>
    </w:rPr>
  </w:style>
  <w:style w:type="paragraph" w:styleId="NormalWeb">
    <w:name w:val="Normal (Web)"/>
    <w:basedOn w:val="Normal"/>
    <w:rsid w:val="005D32B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5D32B9"/>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5D32B9"/>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5D32B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15595941">
      <w:bodyDiv w:val="1"/>
      <w:marLeft w:val="0"/>
      <w:marRight w:val="0"/>
      <w:marTop w:val="0"/>
      <w:marBottom w:val="0"/>
      <w:divBdr>
        <w:top w:val="none" w:sz="0" w:space="0" w:color="auto"/>
        <w:left w:val="none" w:sz="0" w:space="0" w:color="auto"/>
        <w:bottom w:val="none" w:sz="0" w:space="0" w:color="auto"/>
        <w:right w:val="none" w:sz="0" w:space="0" w:color="auto"/>
      </w:divBdr>
      <w:divsChild>
        <w:div w:id="2004510464">
          <w:marLeft w:val="0"/>
          <w:marRight w:val="0"/>
          <w:marTop w:val="0"/>
          <w:marBottom w:val="0"/>
          <w:divBdr>
            <w:top w:val="none" w:sz="0" w:space="0" w:color="auto"/>
            <w:left w:val="none" w:sz="0" w:space="0" w:color="auto"/>
            <w:bottom w:val="none" w:sz="0" w:space="0" w:color="auto"/>
            <w:right w:val="none" w:sz="0" w:space="0" w:color="auto"/>
          </w:divBdr>
          <w:divsChild>
            <w:div w:id="1690184583">
              <w:marLeft w:val="0"/>
              <w:marRight w:val="0"/>
              <w:marTop w:val="0"/>
              <w:marBottom w:val="0"/>
              <w:divBdr>
                <w:top w:val="none" w:sz="0" w:space="0" w:color="auto"/>
                <w:left w:val="none" w:sz="0" w:space="0" w:color="auto"/>
                <w:bottom w:val="none" w:sz="0" w:space="0" w:color="auto"/>
                <w:right w:val="none" w:sz="0" w:space="0" w:color="auto"/>
              </w:divBdr>
              <w:divsChild>
                <w:div w:id="378165210">
                  <w:marLeft w:val="0"/>
                  <w:marRight w:val="0"/>
                  <w:marTop w:val="0"/>
                  <w:marBottom w:val="0"/>
                  <w:divBdr>
                    <w:top w:val="none" w:sz="0" w:space="0" w:color="auto"/>
                    <w:left w:val="none" w:sz="0" w:space="0" w:color="auto"/>
                    <w:bottom w:val="none" w:sz="0" w:space="0" w:color="auto"/>
                    <w:right w:val="none" w:sz="0" w:space="0" w:color="auto"/>
                  </w:divBdr>
                  <w:divsChild>
                    <w:div w:id="20672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1/20160122-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1983</Words>
  <Characters>11305</Characters>
  <Application>Microsoft Office Word</Application>
  <DocSecurity>0</DocSecurity>
  <Lines>94</Lines>
  <Paragraphs>26</Paragraphs>
  <ScaleCrop>false</ScaleCrop>
  <Company/>
  <LinksUpToDate>false</LinksUpToDate>
  <CharactersWithSpaces>13262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2016-01-22T06:24:00Z</dcterms:created>
  <dcterms:modified xsi:type="dcterms:W3CDTF">2016-01-22T06:24:00Z</dcterms:modified>
</cp:coreProperties>
</file>